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ECFB9" w14:textId="77777777" w:rsidR="00354A04" w:rsidRPr="00354A04" w:rsidRDefault="00354A04" w:rsidP="00354A04">
      <w:pPr>
        <w:spacing w:after="0" w:line="240" w:lineRule="auto"/>
        <w:jc w:val="center"/>
        <w:rPr>
          <w:rFonts w:ascii="Times New Roman" w:hAnsi="Times New Roman"/>
          <w:i/>
          <w:iCs/>
          <w:color w:val="000000"/>
          <w:sz w:val="28"/>
          <w:szCs w:val="28"/>
          <w:lang w:val="pt-BR"/>
        </w:rPr>
      </w:pPr>
      <w:r w:rsidRPr="00354A04">
        <w:rPr>
          <w:rFonts w:ascii="Times New Roman" w:hAnsi="Times New Roman"/>
          <w:i/>
          <w:iCs/>
          <w:color w:val="000000"/>
          <w:sz w:val="28"/>
          <w:szCs w:val="28"/>
          <w:lang w:val="pt-BR"/>
        </w:rPr>
        <w:t>(Tài liệu kèm theo văn bản số         /BKHĐT-QLĐT ngày     /10/2020</w:t>
      </w:r>
    </w:p>
    <w:p w14:paraId="13E3E7EB" w14:textId="77777777" w:rsidR="00354A04" w:rsidRPr="00354A04" w:rsidRDefault="00354A04" w:rsidP="00354A04">
      <w:pPr>
        <w:spacing w:after="0" w:line="240" w:lineRule="auto"/>
        <w:jc w:val="center"/>
        <w:rPr>
          <w:rFonts w:ascii="Times New Roman" w:hAnsi="Times New Roman"/>
          <w:sz w:val="28"/>
          <w:szCs w:val="28"/>
          <w:lang w:val="pt-BR"/>
        </w:rPr>
      </w:pPr>
      <w:r w:rsidRPr="00354A04">
        <w:rPr>
          <w:rFonts w:ascii="Times New Roman" w:hAnsi="Times New Roman"/>
          <w:i/>
          <w:iCs/>
          <w:color w:val="000000"/>
          <w:sz w:val="28"/>
          <w:szCs w:val="28"/>
          <w:lang w:val="pt-BR"/>
        </w:rPr>
        <w:t>của Bộ Kế hoạch và Đầu tư)</w:t>
      </w:r>
    </w:p>
    <w:p w14:paraId="07920159" w14:textId="77777777" w:rsidR="00D74D78" w:rsidRPr="00354A04" w:rsidRDefault="000F6E4A" w:rsidP="00D1064B">
      <w:pPr>
        <w:spacing w:before="240" w:after="120" w:line="240" w:lineRule="auto"/>
        <w:jc w:val="center"/>
        <w:rPr>
          <w:rFonts w:ascii="Times New Roman" w:hAnsi="Times New Roman"/>
          <w:b/>
          <w:color w:val="000000" w:themeColor="text1"/>
          <w:sz w:val="24"/>
          <w:szCs w:val="24"/>
          <w:lang w:val="pt-BR"/>
        </w:rPr>
      </w:pPr>
      <w:r w:rsidRPr="00354A04">
        <w:rPr>
          <w:rFonts w:ascii="Times New Roman" w:hAnsi="Times New Roman"/>
          <w:b/>
          <w:color w:val="000000" w:themeColor="text1"/>
          <w:sz w:val="24"/>
          <w:szCs w:val="24"/>
          <w:lang w:val="pt-BR"/>
        </w:rPr>
        <w:t xml:space="preserve">BẢNG TỔNG HỢP Ý KIẾN GÓP Ý CỦA CÁC </w:t>
      </w:r>
      <w:r w:rsidR="0002263E" w:rsidRPr="00354A04">
        <w:rPr>
          <w:rFonts w:ascii="Times New Roman" w:hAnsi="Times New Roman"/>
          <w:b/>
          <w:color w:val="000000" w:themeColor="text1"/>
          <w:sz w:val="24"/>
          <w:szCs w:val="24"/>
          <w:lang w:val="pt-BR"/>
        </w:rPr>
        <w:t>BỘ, NGÀNH, ĐỊA PHƯƠNG</w:t>
      </w:r>
      <w:r w:rsidR="00B65D0A" w:rsidRPr="00354A04">
        <w:rPr>
          <w:rFonts w:ascii="Times New Roman" w:hAnsi="Times New Roman"/>
          <w:b/>
          <w:color w:val="000000" w:themeColor="text1"/>
          <w:sz w:val="24"/>
          <w:szCs w:val="24"/>
          <w:lang w:val="pt-BR"/>
        </w:rPr>
        <w:t>, CÁ NHÂN, TỔ CHỨC</w:t>
      </w:r>
      <w:r w:rsidR="0002263E" w:rsidRPr="00354A04">
        <w:rPr>
          <w:rFonts w:ascii="Times New Roman" w:hAnsi="Times New Roman"/>
          <w:b/>
          <w:color w:val="000000" w:themeColor="text1"/>
          <w:sz w:val="24"/>
          <w:szCs w:val="24"/>
          <w:lang w:val="pt-BR"/>
        </w:rPr>
        <w:t xml:space="preserve"> VỀ</w:t>
      </w:r>
    </w:p>
    <w:p w14:paraId="074A67DC" w14:textId="66A0C466" w:rsidR="0002263E" w:rsidRPr="00B622EC" w:rsidRDefault="0002263E" w:rsidP="00E60D11">
      <w:pPr>
        <w:spacing w:before="120" w:after="12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t xml:space="preserve">DỰ THẢO </w:t>
      </w:r>
      <w:r w:rsidR="00C35DCE" w:rsidRPr="00B622EC">
        <w:rPr>
          <w:rFonts w:ascii="Times New Roman" w:hAnsi="Times New Roman"/>
          <w:b/>
          <w:color w:val="000000" w:themeColor="text1"/>
          <w:sz w:val="24"/>
          <w:szCs w:val="24"/>
          <w:lang w:val="en-US"/>
        </w:rPr>
        <w:t>NGHỊ ĐỊNH QUY ĐỊNH CHI TIẾT MỘT SỐ ĐIỀU CỦA</w:t>
      </w:r>
    </w:p>
    <w:p w14:paraId="409B65CE" w14:textId="697BE66F" w:rsidR="00C35DCE" w:rsidRPr="00B622EC" w:rsidRDefault="00C35DCE" w:rsidP="00E60D11">
      <w:pPr>
        <w:spacing w:before="120" w:after="12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t>LUẬT ĐẦU TƯ THEO PHƯƠNG THỨC ĐỐI TÁC CÔNG TƯ</w:t>
      </w:r>
    </w:p>
    <w:p w14:paraId="4470E2DF" w14:textId="77777777" w:rsidR="00B65D0A" w:rsidRPr="00B622EC" w:rsidRDefault="00CA4C64" w:rsidP="00B65D0A">
      <w:pPr>
        <w:spacing w:before="120" w:after="120" w:line="240" w:lineRule="auto"/>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 xml:space="preserve">Cơ quan/ </w:t>
      </w:r>
      <w:r w:rsidR="00B65D0A" w:rsidRPr="00B622EC">
        <w:rPr>
          <w:rFonts w:ascii="Times New Roman" w:hAnsi="Times New Roman"/>
          <w:color w:val="000000" w:themeColor="text1"/>
          <w:sz w:val="24"/>
          <w:szCs w:val="24"/>
          <w:lang w:val="en-US"/>
        </w:rPr>
        <w:t xml:space="preserve">Đơn vị có ý kiến: </w:t>
      </w:r>
    </w:p>
    <w:p w14:paraId="7A4FAB03" w14:textId="7D943E94" w:rsidR="00437012" w:rsidRPr="00B622EC" w:rsidRDefault="00B65D0A" w:rsidP="00B65D0A">
      <w:pPr>
        <w:spacing w:before="120" w:after="120" w:line="240" w:lineRule="auto"/>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 xml:space="preserve">- </w:t>
      </w:r>
      <w:r w:rsidR="00E84855">
        <w:rPr>
          <w:rFonts w:ascii="Times New Roman" w:hAnsi="Times New Roman"/>
          <w:color w:val="000000" w:themeColor="text1"/>
          <w:sz w:val="24"/>
          <w:szCs w:val="24"/>
          <w:lang w:val="en-US"/>
        </w:rPr>
        <w:t>33</w:t>
      </w:r>
      <w:r w:rsidRPr="00B622EC">
        <w:rPr>
          <w:rFonts w:ascii="Times New Roman" w:hAnsi="Times New Roman"/>
          <w:color w:val="000000" w:themeColor="text1"/>
          <w:sz w:val="24"/>
          <w:szCs w:val="24"/>
          <w:lang w:val="en-US"/>
        </w:rPr>
        <w:t>/63 Ủy ban nhân dân các tỉnh, thành phố trực thuộc Trung ương</w:t>
      </w:r>
    </w:p>
    <w:p w14:paraId="047ED5E6" w14:textId="3D60CD1E" w:rsidR="00D3043B" w:rsidRPr="00B622EC" w:rsidRDefault="00B65D0A" w:rsidP="00B65D0A">
      <w:pPr>
        <w:spacing w:before="120" w:after="120" w:line="240" w:lineRule="auto"/>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 xml:space="preserve">- </w:t>
      </w:r>
      <w:r w:rsidR="00E84855">
        <w:rPr>
          <w:rFonts w:ascii="Times New Roman" w:hAnsi="Times New Roman"/>
          <w:color w:val="000000" w:themeColor="text1"/>
          <w:sz w:val="24"/>
          <w:szCs w:val="24"/>
          <w:lang w:val="en-US"/>
        </w:rPr>
        <w:t>12</w:t>
      </w:r>
      <w:r w:rsidRPr="00B622EC">
        <w:rPr>
          <w:rFonts w:ascii="Times New Roman" w:hAnsi="Times New Roman"/>
          <w:color w:val="000000" w:themeColor="text1"/>
          <w:sz w:val="24"/>
          <w:szCs w:val="24"/>
          <w:lang w:val="en-US"/>
        </w:rPr>
        <w:t>/29 Bộ</w:t>
      </w:r>
      <w:r w:rsidR="00CA4C64" w:rsidRPr="00B622EC">
        <w:rPr>
          <w:rFonts w:ascii="Times New Roman" w:hAnsi="Times New Roman"/>
          <w:color w:val="000000" w:themeColor="text1"/>
          <w:sz w:val="24"/>
          <w:szCs w:val="24"/>
          <w:lang w:val="en-US"/>
        </w:rPr>
        <w:t>, cơ quan ngang b</w:t>
      </w:r>
      <w:r w:rsidRPr="00B622EC">
        <w:rPr>
          <w:rFonts w:ascii="Times New Roman" w:hAnsi="Times New Roman"/>
          <w:color w:val="000000" w:themeColor="text1"/>
          <w:sz w:val="24"/>
          <w:szCs w:val="24"/>
          <w:lang w:val="en-US"/>
        </w:rPr>
        <w:t>ộ, cơ quan thuộc Chính phủ</w:t>
      </w:r>
      <w:r w:rsidR="00CB52A2" w:rsidRPr="00B622EC">
        <w:rPr>
          <w:rFonts w:ascii="Times New Roman" w:hAnsi="Times New Roman"/>
          <w:color w:val="000000" w:themeColor="text1"/>
          <w:sz w:val="24"/>
          <w:szCs w:val="24"/>
          <w:lang w:val="en-US"/>
        </w:rPr>
        <w:t xml:space="preserve"> </w:t>
      </w:r>
      <w:bookmarkStart w:id="0" w:name="_GoBack"/>
      <w:bookmarkEnd w:id="0"/>
    </w:p>
    <w:tbl>
      <w:tblPr>
        <w:tblW w:w="5702"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2679"/>
        <w:gridCol w:w="7514"/>
        <w:gridCol w:w="4250"/>
      </w:tblGrid>
      <w:tr w:rsidR="00447C14" w:rsidRPr="00B622EC" w14:paraId="7DAD5E25" w14:textId="77777777" w:rsidTr="009C3E48">
        <w:tc>
          <w:tcPr>
            <w:tcW w:w="460" w:type="pct"/>
            <w:shd w:val="clear" w:color="auto" w:fill="FABF8F"/>
            <w:vAlign w:val="center"/>
          </w:tcPr>
          <w:p w14:paraId="2606CF55" w14:textId="77777777" w:rsidR="00CC13B8" w:rsidRPr="00B622EC" w:rsidRDefault="00CC13B8" w:rsidP="0062279C">
            <w:pPr>
              <w:spacing w:after="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t>Nội dung</w:t>
            </w:r>
          </w:p>
        </w:tc>
        <w:tc>
          <w:tcPr>
            <w:tcW w:w="842" w:type="pct"/>
            <w:shd w:val="clear" w:color="auto" w:fill="FABF8F"/>
            <w:vAlign w:val="center"/>
          </w:tcPr>
          <w:p w14:paraId="6E4CC49F" w14:textId="77777777" w:rsidR="00CC13B8" w:rsidRPr="00B622EC" w:rsidRDefault="004C4493" w:rsidP="0062279C">
            <w:pPr>
              <w:spacing w:after="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t>Cơ quan/ Đơn vị</w:t>
            </w:r>
          </w:p>
        </w:tc>
        <w:tc>
          <w:tcPr>
            <w:tcW w:w="2362" w:type="pct"/>
            <w:shd w:val="clear" w:color="auto" w:fill="FABF8F"/>
            <w:vAlign w:val="center"/>
          </w:tcPr>
          <w:p w14:paraId="121FF250" w14:textId="77777777" w:rsidR="00CC13B8" w:rsidRPr="00B622EC" w:rsidRDefault="00CC13B8" w:rsidP="0062279C">
            <w:pPr>
              <w:spacing w:after="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t>Ý kiến góp ý</w:t>
            </w:r>
          </w:p>
        </w:tc>
        <w:tc>
          <w:tcPr>
            <w:tcW w:w="1336" w:type="pct"/>
            <w:shd w:val="clear" w:color="auto" w:fill="FABF8F"/>
            <w:vAlign w:val="center"/>
          </w:tcPr>
          <w:p w14:paraId="6E9FA5ED" w14:textId="77777777" w:rsidR="00CC13B8" w:rsidRPr="00B622EC" w:rsidRDefault="00CC13B8" w:rsidP="0062279C">
            <w:pPr>
              <w:spacing w:after="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t>Giải trình</w:t>
            </w:r>
          </w:p>
        </w:tc>
      </w:tr>
      <w:tr w:rsidR="00447C14" w:rsidRPr="00B622EC" w14:paraId="020102CA" w14:textId="77777777" w:rsidTr="00131D6E">
        <w:trPr>
          <w:trHeight w:val="1621"/>
        </w:trPr>
        <w:tc>
          <w:tcPr>
            <w:tcW w:w="460" w:type="pct"/>
            <w:shd w:val="clear" w:color="auto" w:fill="auto"/>
            <w:vAlign w:val="center"/>
          </w:tcPr>
          <w:p w14:paraId="7F01A4C1" w14:textId="6F151A25" w:rsidR="00437242" w:rsidRPr="00B622EC" w:rsidRDefault="004C4493" w:rsidP="007003D0">
            <w:pPr>
              <w:spacing w:after="0" w:line="240" w:lineRule="auto"/>
              <w:jc w:val="center"/>
              <w:rPr>
                <w:rFonts w:ascii="Times New Roman" w:hAnsi="Times New Roman"/>
                <w:b/>
                <w:color w:val="000000" w:themeColor="text1"/>
                <w:sz w:val="24"/>
                <w:szCs w:val="24"/>
              </w:rPr>
            </w:pPr>
            <w:r w:rsidRPr="00B622EC">
              <w:rPr>
                <w:rFonts w:ascii="Times New Roman" w:hAnsi="Times New Roman"/>
                <w:b/>
                <w:color w:val="000000" w:themeColor="text1"/>
                <w:sz w:val="24"/>
                <w:szCs w:val="24"/>
              </w:rPr>
              <w:t>Cơ bản t</w:t>
            </w:r>
            <w:r w:rsidR="00437242" w:rsidRPr="00B622EC">
              <w:rPr>
                <w:rFonts w:ascii="Times New Roman" w:hAnsi="Times New Roman"/>
                <w:b/>
                <w:color w:val="000000" w:themeColor="text1"/>
                <w:sz w:val="24"/>
                <w:szCs w:val="24"/>
              </w:rPr>
              <w:t>hống nhất với toàn bộ nội dung dự thảo</w:t>
            </w:r>
            <w:r w:rsidR="00CA4C64" w:rsidRPr="00B622EC">
              <w:rPr>
                <w:rFonts w:ascii="Times New Roman" w:hAnsi="Times New Roman"/>
                <w:b/>
                <w:color w:val="000000" w:themeColor="text1"/>
                <w:sz w:val="24"/>
                <w:szCs w:val="24"/>
              </w:rPr>
              <w:t xml:space="preserve"> </w:t>
            </w:r>
            <w:r w:rsidR="007003D0" w:rsidRPr="00B622EC">
              <w:rPr>
                <w:rFonts w:ascii="Times New Roman" w:hAnsi="Times New Roman"/>
                <w:b/>
                <w:color w:val="000000" w:themeColor="text1"/>
                <w:sz w:val="24"/>
                <w:szCs w:val="24"/>
              </w:rPr>
              <w:t>Nghị định</w:t>
            </w:r>
            <w:r w:rsidR="00CA4C64" w:rsidRPr="00B622EC">
              <w:rPr>
                <w:rFonts w:ascii="Times New Roman" w:hAnsi="Times New Roman"/>
                <w:b/>
                <w:color w:val="000000" w:themeColor="text1"/>
                <w:sz w:val="24"/>
                <w:szCs w:val="24"/>
              </w:rPr>
              <w:t>, Tờ trình</w:t>
            </w:r>
          </w:p>
        </w:tc>
        <w:tc>
          <w:tcPr>
            <w:tcW w:w="4540" w:type="pct"/>
            <w:gridSpan w:val="3"/>
            <w:shd w:val="clear" w:color="auto" w:fill="auto"/>
            <w:vAlign w:val="center"/>
          </w:tcPr>
          <w:p w14:paraId="6FC64966" w14:textId="25CE0015" w:rsidR="00437242" w:rsidRPr="00B622EC" w:rsidRDefault="003E6699" w:rsidP="0062279C">
            <w:pPr>
              <w:spacing w:after="0" w:line="240" w:lineRule="auto"/>
              <w:rPr>
                <w:rFonts w:ascii="Times New Roman" w:hAnsi="Times New Roman"/>
                <w:color w:val="000000" w:themeColor="text1"/>
                <w:sz w:val="24"/>
                <w:szCs w:val="24"/>
              </w:rPr>
            </w:pPr>
            <w:r w:rsidRPr="00B622EC">
              <w:rPr>
                <w:rFonts w:ascii="Times New Roman" w:hAnsi="Times New Roman"/>
                <w:color w:val="000000" w:themeColor="text1"/>
                <w:sz w:val="24"/>
                <w:szCs w:val="24"/>
              </w:rPr>
              <w:t xml:space="preserve">- Các </w:t>
            </w:r>
            <w:r w:rsidR="008443E6" w:rsidRPr="00B622EC">
              <w:rPr>
                <w:rFonts w:ascii="Times New Roman" w:hAnsi="Times New Roman"/>
                <w:color w:val="000000" w:themeColor="text1"/>
                <w:sz w:val="24"/>
                <w:szCs w:val="24"/>
              </w:rPr>
              <w:t>Bộ, cơ quan nga</w:t>
            </w:r>
            <w:r w:rsidR="007E09C2" w:rsidRPr="00B622EC">
              <w:rPr>
                <w:rFonts w:ascii="Times New Roman" w:hAnsi="Times New Roman"/>
                <w:color w:val="000000" w:themeColor="text1"/>
                <w:sz w:val="24"/>
                <w:szCs w:val="24"/>
              </w:rPr>
              <w:t>ng</w:t>
            </w:r>
            <w:r w:rsidR="008443E6" w:rsidRPr="00B622EC">
              <w:rPr>
                <w:rFonts w:ascii="Times New Roman" w:hAnsi="Times New Roman"/>
                <w:color w:val="000000" w:themeColor="text1"/>
                <w:sz w:val="24"/>
                <w:szCs w:val="24"/>
              </w:rPr>
              <w:t xml:space="preserve"> bộ, cơ quan thuộc Chính phủ: </w:t>
            </w:r>
            <w:r w:rsidRPr="00B622EC">
              <w:rPr>
                <w:rFonts w:ascii="Times New Roman" w:hAnsi="Times New Roman"/>
                <w:color w:val="000000" w:themeColor="text1"/>
                <w:sz w:val="24"/>
                <w:szCs w:val="24"/>
              </w:rPr>
              <w:t>Đài truyền hình Việt Nam; Bộ Nội vụ; Ủy ban dân tộc;</w:t>
            </w:r>
            <w:r w:rsidR="00F653ED" w:rsidRPr="00B622EC">
              <w:rPr>
                <w:rFonts w:ascii="Times New Roman" w:hAnsi="Times New Roman"/>
                <w:color w:val="000000" w:themeColor="text1"/>
                <w:sz w:val="24"/>
                <w:szCs w:val="24"/>
              </w:rPr>
              <w:t xml:space="preserve"> Thông tấn xã Việt Nam</w:t>
            </w:r>
            <w:r w:rsidR="002664EE" w:rsidRPr="00B622EC">
              <w:rPr>
                <w:rFonts w:ascii="Times New Roman" w:hAnsi="Times New Roman"/>
                <w:color w:val="000000" w:themeColor="text1"/>
                <w:sz w:val="24"/>
                <w:szCs w:val="24"/>
              </w:rPr>
              <w:t xml:space="preserve">; Bộ Thông tin và truyền thông </w:t>
            </w:r>
          </w:p>
          <w:p w14:paraId="5CD3D23A" w14:textId="68BD8A67" w:rsidR="008443E6" w:rsidRPr="00B622EC" w:rsidRDefault="008443E6" w:rsidP="0062279C">
            <w:pPr>
              <w:spacing w:after="0" w:line="240" w:lineRule="auto"/>
              <w:rPr>
                <w:rFonts w:ascii="Times New Roman" w:hAnsi="Times New Roman"/>
                <w:color w:val="000000" w:themeColor="text1"/>
                <w:sz w:val="24"/>
                <w:szCs w:val="24"/>
              </w:rPr>
            </w:pPr>
            <w:r w:rsidRPr="00B622EC">
              <w:rPr>
                <w:rFonts w:ascii="Times New Roman" w:hAnsi="Times New Roman"/>
                <w:color w:val="000000" w:themeColor="text1"/>
                <w:sz w:val="24"/>
                <w:szCs w:val="24"/>
              </w:rPr>
              <w:t>- Ủy ban nhân dân các tỉnh, thành phố trực thuộc Trung ương: Bình Định; Kon Tum; Tuyên Quang</w:t>
            </w:r>
            <w:r w:rsidR="005D7373" w:rsidRPr="00B622EC">
              <w:rPr>
                <w:rFonts w:ascii="Times New Roman" w:hAnsi="Times New Roman"/>
                <w:color w:val="000000" w:themeColor="text1"/>
                <w:sz w:val="24"/>
                <w:szCs w:val="24"/>
              </w:rPr>
              <w:t>; Sóc Trăng</w:t>
            </w:r>
            <w:r w:rsidR="005A1B81" w:rsidRPr="00B622EC">
              <w:rPr>
                <w:rFonts w:ascii="Times New Roman" w:hAnsi="Times New Roman"/>
                <w:color w:val="000000" w:themeColor="text1"/>
                <w:sz w:val="24"/>
                <w:szCs w:val="24"/>
              </w:rPr>
              <w:t>; Bình Định</w:t>
            </w:r>
            <w:r w:rsidR="00D635C9" w:rsidRPr="00B622EC">
              <w:rPr>
                <w:rFonts w:ascii="Times New Roman" w:hAnsi="Times New Roman"/>
                <w:color w:val="000000" w:themeColor="text1"/>
                <w:sz w:val="24"/>
                <w:szCs w:val="24"/>
              </w:rPr>
              <w:t>; Đồng Tháp</w:t>
            </w:r>
            <w:r w:rsidR="003B1A89" w:rsidRPr="00B622EC">
              <w:rPr>
                <w:rFonts w:ascii="Times New Roman" w:hAnsi="Times New Roman"/>
                <w:color w:val="000000" w:themeColor="text1"/>
                <w:sz w:val="24"/>
                <w:szCs w:val="24"/>
              </w:rPr>
              <w:t>; Bình Phước</w:t>
            </w:r>
            <w:r w:rsidR="008A1E2B" w:rsidRPr="00B622EC">
              <w:rPr>
                <w:rFonts w:ascii="Times New Roman" w:hAnsi="Times New Roman"/>
                <w:color w:val="000000" w:themeColor="text1"/>
                <w:sz w:val="24"/>
                <w:szCs w:val="24"/>
              </w:rPr>
              <w:t>; Bắc Ninh</w:t>
            </w:r>
            <w:r w:rsidR="001B5C02" w:rsidRPr="00B622EC">
              <w:rPr>
                <w:rFonts w:ascii="Times New Roman" w:hAnsi="Times New Roman"/>
                <w:color w:val="000000" w:themeColor="text1"/>
                <w:sz w:val="24"/>
                <w:szCs w:val="24"/>
              </w:rPr>
              <w:t>; Thái Nguyên</w:t>
            </w:r>
            <w:r w:rsidR="00F36927" w:rsidRPr="00B622EC">
              <w:rPr>
                <w:rFonts w:ascii="Times New Roman" w:hAnsi="Times New Roman"/>
                <w:color w:val="000000" w:themeColor="text1"/>
                <w:sz w:val="24"/>
                <w:szCs w:val="24"/>
              </w:rPr>
              <w:t>; Lai Châu</w:t>
            </w:r>
            <w:r w:rsidR="007D301D" w:rsidRPr="00B622EC">
              <w:rPr>
                <w:rFonts w:ascii="Times New Roman" w:hAnsi="Times New Roman"/>
                <w:color w:val="000000" w:themeColor="text1"/>
                <w:sz w:val="24"/>
                <w:szCs w:val="24"/>
              </w:rPr>
              <w:t>; Bình Thuận</w:t>
            </w:r>
            <w:r w:rsidR="00853695" w:rsidRPr="00B622EC">
              <w:rPr>
                <w:rFonts w:ascii="Times New Roman" w:hAnsi="Times New Roman"/>
                <w:color w:val="000000" w:themeColor="text1"/>
                <w:sz w:val="24"/>
                <w:szCs w:val="24"/>
              </w:rPr>
              <w:t>; Hà Nam</w:t>
            </w:r>
            <w:r w:rsidR="00DC2AF4" w:rsidRPr="00B622EC">
              <w:rPr>
                <w:rFonts w:ascii="Times New Roman" w:hAnsi="Times New Roman"/>
                <w:color w:val="000000" w:themeColor="text1"/>
                <w:sz w:val="24"/>
                <w:szCs w:val="24"/>
              </w:rPr>
              <w:t>; Nam Định</w:t>
            </w:r>
            <w:r w:rsidR="00C93664" w:rsidRPr="00B622EC">
              <w:rPr>
                <w:rFonts w:ascii="Times New Roman" w:hAnsi="Times New Roman"/>
                <w:color w:val="000000" w:themeColor="text1"/>
                <w:sz w:val="24"/>
                <w:szCs w:val="24"/>
              </w:rPr>
              <w:t>; Cao Bằng</w:t>
            </w:r>
            <w:r w:rsidR="00D64A91" w:rsidRPr="00B622EC">
              <w:rPr>
                <w:rFonts w:ascii="Times New Roman" w:hAnsi="Times New Roman"/>
                <w:color w:val="000000" w:themeColor="text1"/>
                <w:sz w:val="24"/>
                <w:szCs w:val="24"/>
              </w:rPr>
              <w:t>; Hà Giang</w:t>
            </w:r>
            <w:r w:rsidR="00F03659" w:rsidRPr="00B622EC">
              <w:rPr>
                <w:rFonts w:ascii="Times New Roman" w:hAnsi="Times New Roman"/>
                <w:color w:val="000000" w:themeColor="text1"/>
                <w:sz w:val="24"/>
                <w:szCs w:val="24"/>
              </w:rPr>
              <w:t>; Hòa Bình</w:t>
            </w:r>
            <w:r w:rsidR="00212DC2" w:rsidRPr="00B622EC">
              <w:rPr>
                <w:rFonts w:ascii="Times New Roman" w:hAnsi="Times New Roman"/>
                <w:color w:val="000000" w:themeColor="text1"/>
                <w:sz w:val="24"/>
                <w:szCs w:val="24"/>
              </w:rPr>
              <w:t>; Quảng Trị</w:t>
            </w:r>
            <w:r w:rsidR="008A438F" w:rsidRPr="00B622EC">
              <w:rPr>
                <w:rFonts w:ascii="Times New Roman" w:hAnsi="Times New Roman"/>
                <w:color w:val="000000" w:themeColor="text1"/>
                <w:sz w:val="24"/>
                <w:szCs w:val="24"/>
              </w:rPr>
              <w:t>; Đồng Nai;</w:t>
            </w:r>
            <w:r w:rsidR="005B25C7" w:rsidRPr="00B622EC">
              <w:rPr>
                <w:rFonts w:ascii="Times New Roman" w:hAnsi="Times New Roman"/>
                <w:color w:val="000000" w:themeColor="text1"/>
                <w:sz w:val="24"/>
                <w:szCs w:val="24"/>
              </w:rPr>
              <w:t xml:space="preserve"> Hưng Yên</w:t>
            </w:r>
            <w:r w:rsidR="00711AC4" w:rsidRPr="00B622EC">
              <w:rPr>
                <w:rFonts w:ascii="Times New Roman" w:hAnsi="Times New Roman"/>
                <w:color w:val="000000" w:themeColor="text1"/>
                <w:sz w:val="24"/>
                <w:szCs w:val="24"/>
              </w:rPr>
              <w:t>; Phú Thọ</w:t>
            </w:r>
          </w:p>
          <w:p w14:paraId="7A1E932C" w14:textId="6D4C194F" w:rsidR="003E6699" w:rsidRPr="00B622EC" w:rsidRDefault="003E6699" w:rsidP="0062279C">
            <w:pPr>
              <w:spacing w:after="0" w:line="240" w:lineRule="auto"/>
              <w:rPr>
                <w:rFonts w:ascii="Times New Roman" w:hAnsi="Times New Roman"/>
                <w:color w:val="000000" w:themeColor="text1"/>
                <w:sz w:val="24"/>
                <w:szCs w:val="24"/>
              </w:rPr>
            </w:pPr>
            <w:r w:rsidRPr="00B622EC">
              <w:rPr>
                <w:rFonts w:ascii="Times New Roman" w:hAnsi="Times New Roman"/>
                <w:color w:val="000000" w:themeColor="text1"/>
                <w:sz w:val="24"/>
                <w:szCs w:val="24"/>
              </w:rPr>
              <w:t>- Các đơn vị thuộc Bộ KH&amp;ĐT: Trung tâm thông tin và dự báo kinh tế - xã hội quốc gia</w:t>
            </w:r>
          </w:p>
        </w:tc>
      </w:tr>
      <w:tr w:rsidR="000935DC" w:rsidRPr="00B622EC" w14:paraId="5DE197B7" w14:textId="77777777" w:rsidTr="009C3E48">
        <w:trPr>
          <w:trHeight w:val="1621"/>
        </w:trPr>
        <w:tc>
          <w:tcPr>
            <w:tcW w:w="460" w:type="pct"/>
            <w:shd w:val="clear" w:color="auto" w:fill="auto"/>
            <w:vAlign w:val="center"/>
          </w:tcPr>
          <w:p w14:paraId="2F6F5E2A" w14:textId="2ABC0F97" w:rsidR="000935DC" w:rsidRPr="00B622EC" w:rsidRDefault="000935DC" w:rsidP="007003D0">
            <w:pPr>
              <w:spacing w:after="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t>Dự thảo Tờ trình</w:t>
            </w:r>
          </w:p>
        </w:tc>
        <w:tc>
          <w:tcPr>
            <w:tcW w:w="842" w:type="pct"/>
            <w:shd w:val="clear" w:color="auto" w:fill="auto"/>
            <w:vAlign w:val="center"/>
          </w:tcPr>
          <w:p w14:paraId="23ACE33A" w14:textId="178FB39A" w:rsidR="000935DC" w:rsidRPr="00B622EC" w:rsidRDefault="000935DC" w:rsidP="00504065">
            <w:pPr>
              <w:spacing w:after="0" w:line="240" w:lineRule="auto"/>
              <w:jc w:val="center"/>
              <w:rPr>
                <w:rFonts w:ascii="Times New Roman" w:hAnsi="Times New Roman"/>
                <w:b/>
                <w:bCs/>
                <w:color w:val="000000" w:themeColor="text1"/>
                <w:sz w:val="24"/>
                <w:szCs w:val="24"/>
                <w:lang w:val="en-US"/>
              </w:rPr>
            </w:pPr>
            <w:r w:rsidRPr="00B622EC">
              <w:rPr>
                <w:rFonts w:ascii="Times New Roman" w:hAnsi="Times New Roman"/>
                <w:b/>
                <w:bCs/>
                <w:color w:val="000000" w:themeColor="text1"/>
                <w:sz w:val="24"/>
                <w:szCs w:val="24"/>
                <w:lang w:val="en-US"/>
              </w:rPr>
              <w:t>Viện Nghiên cứu quản lý kinh tế TW, Bộ KH&amp;ĐT</w:t>
            </w:r>
          </w:p>
        </w:tc>
        <w:tc>
          <w:tcPr>
            <w:tcW w:w="2362" w:type="pct"/>
            <w:shd w:val="clear" w:color="auto" w:fill="auto"/>
            <w:vAlign w:val="center"/>
          </w:tcPr>
          <w:p w14:paraId="3A95F0FA" w14:textId="1FA6B616" w:rsidR="000935DC" w:rsidRPr="00B622EC" w:rsidRDefault="000935DC" w:rsidP="0062279C">
            <w:pPr>
              <w:spacing w:after="0" w:line="240" w:lineRule="auto"/>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Tờ trình nên bám sát vào Dự thảo Nghị định và trình bày rõ những nội dung có hơn 01 phương án, chỉ rõ phương án lựa chọn của Cơ quan soạn thảo, lý do lựa chọn</w:t>
            </w:r>
            <w:r w:rsidR="00223C7B" w:rsidRPr="00B622EC">
              <w:rPr>
                <w:rFonts w:ascii="Times New Roman" w:hAnsi="Times New Roman"/>
                <w:color w:val="000000" w:themeColor="text1"/>
                <w:sz w:val="24"/>
                <w:szCs w:val="24"/>
                <w:lang w:val="en-US"/>
              </w:rPr>
              <w:t>.</w:t>
            </w:r>
          </w:p>
        </w:tc>
        <w:tc>
          <w:tcPr>
            <w:tcW w:w="1336" w:type="pct"/>
            <w:shd w:val="clear" w:color="auto" w:fill="auto"/>
            <w:vAlign w:val="center"/>
          </w:tcPr>
          <w:p w14:paraId="5E7C33F1" w14:textId="25201712" w:rsidR="000935DC" w:rsidRPr="00B622EC" w:rsidRDefault="00FA61B8" w:rsidP="00223C7B">
            <w:pPr>
              <w:spacing w:after="0" w:line="240" w:lineRule="auto"/>
              <w:rPr>
                <w:rFonts w:ascii="Times New Roman" w:hAnsi="Times New Roman"/>
                <w:color w:val="000000" w:themeColor="text1"/>
                <w:sz w:val="24"/>
                <w:szCs w:val="24"/>
                <w:lang w:val="fr-FR"/>
              </w:rPr>
            </w:pPr>
            <w:r w:rsidRPr="00B622EC">
              <w:rPr>
                <w:rFonts w:ascii="Times New Roman" w:hAnsi="Times New Roman"/>
                <w:color w:val="000000" w:themeColor="text1"/>
                <w:sz w:val="24"/>
                <w:szCs w:val="24"/>
                <w:lang w:val="en-US"/>
              </w:rPr>
              <w:t xml:space="preserve">Tiếp thu. </w:t>
            </w:r>
          </w:p>
        </w:tc>
      </w:tr>
      <w:tr w:rsidR="00AC6340" w:rsidRPr="00B622EC" w14:paraId="1A7EB6D5" w14:textId="77777777" w:rsidTr="009C3E48">
        <w:trPr>
          <w:trHeight w:val="540"/>
        </w:trPr>
        <w:tc>
          <w:tcPr>
            <w:tcW w:w="460" w:type="pct"/>
            <w:vMerge w:val="restart"/>
            <w:shd w:val="clear" w:color="auto" w:fill="auto"/>
            <w:vAlign w:val="center"/>
          </w:tcPr>
          <w:p w14:paraId="24AF35B0" w14:textId="77777777" w:rsidR="00AC6340" w:rsidRPr="00B622EC" w:rsidRDefault="00AC6340" w:rsidP="00504065">
            <w:pPr>
              <w:spacing w:after="0" w:line="240" w:lineRule="auto"/>
              <w:jc w:val="center"/>
              <w:rPr>
                <w:rFonts w:ascii="Times New Roman" w:hAnsi="Times New Roman"/>
                <w:b/>
                <w:color w:val="000000" w:themeColor="text1"/>
                <w:sz w:val="24"/>
                <w:szCs w:val="24"/>
              </w:rPr>
            </w:pPr>
            <w:r w:rsidRPr="00B622EC">
              <w:rPr>
                <w:rFonts w:ascii="Times New Roman" w:hAnsi="Times New Roman"/>
                <w:b/>
                <w:color w:val="000000" w:themeColor="text1"/>
                <w:sz w:val="24"/>
                <w:szCs w:val="24"/>
              </w:rPr>
              <w:t xml:space="preserve">Giải thích từ ngữ </w:t>
            </w:r>
          </w:p>
          <w:p w14:paraId="139AB9E5" w14:textId="5D0F32C8" w:rsidR="00AC6340" w:rsidRPr="00B622EC" w:rsidRDefault="00AC6340" w:rsidP="00504065">
            <w:pPr>
              <w:spacing w:after="0" w:line="240" w:lineRule="auto"/>
              <w:jc w:val="center"/>
              <w:rPr>
                <w:rFonts w:ascii="Times New Roman" w:hAnsi="Times New Roman"/>
                <w:b/>
                <w:color w:val="000000" w:themeColor="text1"/>
                <w:sz w:val="24"/>
                <w:szCs w:val="24"/>
              </w:rPr>
            </w:pPr>
            <w:r w:rsidRPr="00B622EC">
              <w:rPr>
                <w:rFonts w:ascii="Times New Roman" w:hAnsi="Times New Roman"/>
                <w:b/>
                <w:color w:val="000000" w:themeColor="text1"/>
                <w:sz w:val="24"/>
                <w:szCs w:val="24"/>
              </w:rPr>
              <w:t>(Điều 3)</w:t>
            </w:r>
          </w:p>
        </w:tc>
        <w:tc>
          <w:tcPr>
            <w:tcW w:w="842" w:type="pct"/>
            <w:shd w:val="clear" w:color="auto" w:fill="auto"/>
            <w:vAlign w:val="center"/>
          </w:tcPr>
          <w:p w14:paraId="09B704B8" w14:textId="2ED45D76" w:rsidR="00AC6340" w:rsidRPr="00B622EC" w:rsidRDefault="00AC6340" w:rsidP="00504065">
            <w:pPr>
              <w:spacing w:after="0" w:line="240" w:lineRule="auto"/>
              <w:jc w:val="center"/>
              <w:rPr>
                <w:rFonts w:ascii="Times New Roman" w:hAnsi="Times New Roman"/>
                <w:b/>
                <w:bCs/>
                <w:color w:val="000000" w:themeColor="text1"/>
                <w:sz w:val="24"/>
                <w:szCs w:val="24"/>
              </w:rPr>
            </w:pPr>
            <w:r w:rsidRPr="00B622EC">
              <w:rPr>
                <w:rFonts w:ascii="Times New Roman" w:hAnsi="Times New Roman"/>
                <w:b/>
                <w:bCs/>
                <w:color w:val="000000" w:themeColor="text1"/>
                <w:sz w:val="24"/>
                <w:szCs w:val="24"/>
              </w:rPr>
              <w:t>Bộ Nông nghiệp và PTNT</w:t>
            </w:r>
            <w:r w:rsidRPr="00BE71AB">
              <w:rPr>
                <w:rFonts w:ascii="Times New Roman" w:hAnsi="Times New Roman"/>
                <w:b/>
                <w:bCs/>
                <w:color w:val="000000" w:themeColor="text1"/>
                <w:sz w:val="24"/>
                <w:szCs w:val="24"/>
              </w:rPr>
              <w:t>,</w:t>
            </w:r>
            <w:r w:rsidRPr="009C3E48">
              <w:rPr>
                <w:rFonts w:ascii="Times New Roman" w:hAnsi="Times New Roman"/>
                <w:b/>
                <w:color w:val="000000" w:themeColor="text1"/>
                <w:sz w:val="24"/>
                <w:szCs w:val="24"/>
              </w:rPr>
              <w:t xml:space="preserve"> </w:t>
            </w:r>
            <w:r w:rsidRPr="00B622EC">
              <w:rPr>
                <w:rFonts w:ascii="Times New Roman" w:hAnsi="Times New Roman"/>
                <w:b/>
                <w:bCs/>
                <w:color w:val="000000" w:themeColor="text1"/>
                <w:sz w:val="24"/>
                <w:szCs w:val="24"/>
              </w:rPr>
              <w:t>Bộ Thông tin và truyền thông</w:t>
            </w:r>
            <w:r w:rsidRPr="00BE71AB">
              <w:rPr>
                <w:rFonts w:ascii="Times New Roman" w:hAnsi="Times New Roman"/>
                <w:b/>
                <w:bCs/>
                <w:color w:val="000000" w:themeColor="text1"/>
                <w:sz w:val="24"/>
                <w:szCs w:val="24"/>
              </w:rPr>
              <w:t>,</w:t>
            </w:r>
            <w:r w:rsidRPr="009C3E48">
              <w:rPr>
                <w:rFonts w:ascii="Times New Roman" w:hAnsi="Times New Roman"/>
                <w:b/>
                <w:color w:val="000000" w:themeColor="text1"/>
                <w:sz w:val="24"/>
                <w:szCs w:val="24"/>
              </w:rPr>
              <w:t xml:space="preserve"> </w:t>
            </w:r>
            <w:r w:rsidRPr="00AD0B6C">
              <w:rPr>
                <w:rFonts w:ascii="Times New Roman" w:hAnsi="Times New Roman"/>
                <w:b/>
                <w:color w:val="000000" w:themeColor="text1"/>
                <w:sz w:val="24"/>
                <w:szCs w:val="24"/>
              </w:rPr>
              <w:t xml:space="preserve">Bộ Quốc phòng, </w:t>
            </w:r>
            <w:r w:rsidRPr="009C3E48">
              <w:rPr>
                <w:rFonts w:ascii="Times New Roman" w:hAnsi="Times New Roman"/>
                <w:b/>
                <w:color w:val="000000" w:themeColor="text1"/>
                <w:sz w:val="24"/>
                <w:szCs w:val="24"/>
              </w:rPr>
              <w:t>Gia Lai,</w:t>
            </w:r>
            <w:r w:rsidRPr="00B622EC">
              <w:rPr>
                <w:rFonts w:ascii="Times New Roman" w:hAnsi="Times New Roman"/>
                <w:b/>
                <w:color w:val="000000" w:themeColor="text1"/>
                <w:sz w:val="24"/>
                <w:szCs w:val="24"/>
              </w:rPr>
              <w:t xml:space="preserve"> </w:t>
            </w:r>
            <w:r w:rsidRPr="00BE71AB">
              <w:rPr>
                <w:rFonts w:ascii="Times New Roman" w:hAnsi="Times New Roman"/>
                <w:b/>
                <w:color w:val="000000" w:themeColor="text1"/>
                <w:sz w:val="24"/>
                <w:szCs w:val="24"/>
              </w:rPr>
              <w:t xml:space="preserve">Hà Nam, Bình Thuận, </w:t>
            </w:r>
            <w:r w:rsidRPr="00B622EC">
              <w:rPr>
                <w:rFonts w:ascii="Times New Roman" w:hAnsi="Times New Roman"/>
                <w:b/>
                <w:color w:val="000000" w:themeColor="text1"/>
                <w:sz w:val="24"/>
                <w:szCs w:val="24"/>
              </w:rPr>
              <w:t>Ngân hàng TMCP đầu tư và phát triển Việt Nam BIDV</w:t>
            </w:r>
            <w:r w:rsidRPr="009C3E48">
              <w:rPr>
                <w:rFonts w:ascii="Times New Roman" w:hAnsi="Times New Roman"/>
                <w:b/>
                <w:color w:val="000000" w:themeColor="text1"/>
                <w:sz w:val="24"/>
                <w:szCs w:val="24"/>
              </w:rPr>
              <w:t>,</w:t>
            </w:r>
            <w:r w:rsidRPr="00B622EC">
              <w:rPr>
                <w:rFonts w:ascii="Times New Roman" w:hAnsi="Times New Roman"/>
                <w:b/>
                <w:color w:val="000000" w:themeColor="text1"/>
                <w:sz w:val="24"/>
                <w:szCs w:val="24"/>
              </w:rPr>
              <w:t xml:space="preserve"> Công ty CP định giá và dịch vụ tài chính Việt Nam VVFC</w:t>
            </w:r>
          </w:p>
        </w:tc>
        <w:tc>
          <w:tcPr>
            <w:tcW w:w="2362" w:type="pct"/>
            <w:shd w:val="clear" w:color="auto" w:fill="auto"/>
            <w:vAlign w:val="center"/>
          </w:tcPr>
          <w:p w14:paraId="272F70B8" w14:textId="77777777" w:rsidR="00AC6340" w:rsidRDefault="00AC6340" w:rsidP="00AD0B6C">
            <w:pPr>
              <w:spacing w:after="0" w:line="240" w:lineRule="auto"/>
              <w:jc w:val="both"/>
              <w:rPr>
                <w:rFonts w:ascii="Times New Roman" w:hAnsi="Times New Roman"/>
                <w:color w:val="000000" w:themeColor="text1"/>
                <w:sz w:val="24"/>
                <w:szCs w:val="24"/>
              </w:rPr>
            </w:pPr>
            <w:r w:rsidRPr="00B622EC">
              <w:rPr>
                <w:rFonts w:asciiTheme="majorHAnsi" w:hAnsiTheme="majorHAnsi" w:cstheme="majorHAnsi"/>
                <w:color w:val="000000"/>
                <w:sz w:val="24"/>
                <w:szCs w:val="24"/>
                <w:lang w:eastAsia="vi-VN" w:bidi="vi-VN"/>
              </w:rPr>
              <w:t>Nộ</w:t>
            </w:r>
            <w:r>
              <w:rPr>
                <w:rFonts w:asciiTheme="majorHAnsi" w:hAnsiTheme="majorHAnsi" w:cstheme="majorHAnsi"/>
                <w:color w:val="000000"/>
                <w:sz w:val="24"/>
                <w:szCs w:val="24"/>
                <w:lang w:eastAsia="vi-VN" w:bidi="vi-VN"/>
              </w:rPr>
              <w:t>i hàm củ</w:t>
            </w:r>
            <w:r w:rsidRPr="00B622EC">
              <w:rPr>
                <w:rFonts w:asciiTheme="majorHAnsi" w:hAnsiTheme="majorHAnsi" w:cstheme="majorHAnsi"/>
                <w:color w:val="000000"/>
                <w:sz w:val="24"/>
                <w:szCs w:val="24"/>
                <w:lang w:eastAsia="vi-VN" w:bidi="vi-VN"/>
              </w:rPr>
              <w:t>a khái niệm “Chính sách” tại khoản 5 Điều 3 cùa Dự thảo nên được quy định theo phương án 2</w:t>
            </w:r>
            <w:r w:rsidRPr="009C3E48">
              <w:rPr>
                <w:rFonts w:asciiTheme="majorHAnsi" w:hAnsiTheme="majorHAnsi" w:cstheme="majorHAnsi"/>
                <w:color w:val="000000"/>
                <w:sz w:val="24"/>
                <w:szCs w:val="24"/>
                <w:lang w:eastAsia="vi-VN" w:bidi="vi-VN"/>
              </w:rPr>
              <w:t>, bao gồm các quyết sách của cả cấp Trung ương và địa phương</w:t>
            </w:r>
            <w:r w:rsidRPr="00B622EC">
              <w:rPr>
                <w:rFonts w:asciiTheme="majorHAnsi" w:hAnsiTheme="majorHAnsi" w:cstheme="majorHAnsi"/>
                <w:color w:val="000000"/>
                <w:sz w:val="24"/>
                <w:szCs w:val="24"/>
                <w:lang w:eastAsia="vi-VN" w:bidi="vi-VN"/>
              </w:rPr>
              <w:t xml:space="preserve">. </w:t>
            </w:r>
            <w:r>
              <w:rPr>
                <w:rFonts w:ascii="Times New Roman" w:hAnsi="Times New Roman"/>
                <w:color w:val="000000" w:themeColor="text1"/>
                <w:sz w:val="24"/>
                <w:szCs w:val="24"/>
              </w:rPr>
              <w:t>C</w:t>
            </w:r>
            <w:r w:rsidRPr="00B622EC">
              <w:rPr>
                <w:rFonts w:ascii="Times New Roman" w:hAnsi="Times New Roman"/>
                <w:color w:val="000000" w:themeColor="text1"/>
                <w:sz w:val="24"/>
                <w:szCs w:val="24"/>
              </w:rPr>
              <w:t>ác địa phương đều có chính sách riêng, bảo đảm tính chủ động, nhanh nhạy phù hợp với lợi thế của từng địa phương</w:t>
            </w:r>
          </w:p>
          <w:p w14:paraId="4F2379EA" w14:textId="77777777" w:rsidR="00AC6340" w:rsidRDefault="00AC6340" w:rsidP="009C3E48">
            <w:pPr>
              <w:spacing w:after="0" w:line="240" w:lineRule="auto"/>
              <w:jc w:val="both"/>
              <w:rPr>
                <w:rFonts w:ascii="Times New Roman" w:hAnsi="Times New Roman"/>
                <w:color w:val="000000" w:themeColor="text1"/>
                <w:sz w:val="24"/>
                <w:szCs w:val="24"/>
              </w:rPr>
            </w:pPr>
          </w:p>
          <w:p w14:paraId="0DF01B28" w14:textId="77777777" w:rsidR="00AC6340" w:rsidRDefault="00AC6340" w:rsidP="009C3E48">
            <w:pPr>
              <w:spacing w:after="0" w:line="240" w:lineRule="auto"/>
              <w:jc w:val="both"/>
              <w:rPr>
                <w:rFonts w:ascii="Times New Roman" w:hAnsi="Times New Roman"/>
                <w:color w:val="000000" w:themeColor="text1"/>
                <w:sz w:val="24"/>
                <w:szCs w:val="24"/>
              </w:rPr>
            </w:pPr>
          </w:p>
          <w:p w14:paraId="01BC4D8F" w14:textId="77777777" w:rsidR="00AC6340" w:rsidRDefault="00AC6340" w:rsidP="009C3E48">
            <w:pPr>
              <w:spacing w:after="0" w:line="240" w:lineRule="auto"/>
              <w:jc w:val="both"/>
              <w:rPr>
                <w:rFonts w:ascii="Times New Roman" w:hAnsi="Times New Roman"/>
                <w:color w:val="000000" w:themeColor="text1"/>
                <w:sz w:val="24"/>
                <w:szCs w:val="24"/>
              </w:rPr>
            </w:pPr>
          </w:p>
          <w:p w14:paraId="4D3CC735" w14:textId="18B8B9CB" w:rsidR="00AC6340" w:rsidRPr="00B622EC" w:rsidRDefault="00AC6340" w:rsidP="009C3E48">
            <w:pPr>
              <w:spacing w:after="0" w:line="240" w:lineRule="auto"/>
              <w:jc w:val="both"/>
              <w:rPr>
                <w:rFonts w:ascii="Times New Roman" w:hAnsi="Times New Roman"/>
                <w:color w:val="000000" w:themeColor="text1"/>
                <w:sz w:val="24"/>
                <w:szCs w:val="24"/>
              </w:rPr>
            </w:pPr>
          </w:p>
        </w:tc>
        <w:tc>
          <w:tcPr>
            <w:tcW w:w="1336" w:type="pct"/>
            <w:vMerge w:val="restart"/>
            <w:shd w:val="clear" w:color="auto" w:fill="auto"/>
            <w:vAlign w:val="center"/>
          </w:tcPr>
          <w:p w14:paraId="2ED7EB66" w14:textId="77777777" w:rsidR="00AC6340" w:rsidRDefault="00AC6340" w:rsidP="00AD0B6C">
            <w:pPr>
              <w:spacing w:after="0" w:line="240" w:lineRule="auto"/>
              <w:jc w:val="both"/>
              <w:rPr>
                <w:rFonts w:asciiTheme="majorHAnsi" w:hAnsiTheme="majorHAnsi" w:cstheme="majorHAnsi"/>
                <w:color w:val="000000"/>
                <w:sz w:val="24"/>
                <w:szCs w:val="24"/>
                <w:lang w:eastAsia="vi-VN" w:bidi="vi-VN"/>
              </w:rPr>
            </w:pPr>
            <w:r w:rsidRPr="00B622EC">
              <w:rPr>
                <w:rFonts w:asciiTheme="majorHAnsi" w:hAnsiTheme="majorHAnsi" w:cstheme="majorHAnsi"/>
                <w:color w:val="000000"/>
                <w:sz w:val="24"/>
                <w:szCs w:val="24"/>
                <w:lang w:eastAsia="vi-VN" w:bidi="vi-VN"/>
              </w:rPr>
              <w:t>Dự thảo quy định theo hướng Chính sách được áp dụng để xem xét, thực hiện quy định điều chỉnh chủ trương đầu tư, điều chỉnh dự án PPP, sửa đổi hợp đồng dự án PPP hoặc áp dụng cơ chế chia sẻ phần giảm doanh thu quy định tại Luật đầu tư theo phương thức đầu tư và Nghị định này bao gồm nghị quyết của Chính phủ, quyết định của Ủy ban nhân dân cấp tỉnh mà không phải là văn bản quy phạm pháp luật.</w:t>
            </w:r>
          </w:p>
          <w:p w14:paraId="5472CB68" w14:textId="77777777" w:rsidR="00AC6340" w:rsidRDefault="00AC6340" w:rsidP="007A5C99">
            <w:pPr>
              <w:spacing w:before="120"/>
              <w:jc w:val="both"/>
              <w:rPr>
                <w:rFonts w:asciiTheme="majorHAnsi" w:hAnsiTheme="majorHAnsi" w:cstheme="majorHAnsi"/>
                <w:color w:val="000000"/>
                <w:sz w:val="24"/>
                <w:szCs w:val="24"/>
                <w:lang w:eastAsia="vi-VN" w:bidi="vi-VN"/>
              </w:rPr>
            </w:pPr>
          </w:p>
          <w:p w14:paraId="31DA3061" w14:textId="0274C33E" w:rsidR="00AC6340" w:rsidRPr="00B622EC" w:rsidRDefault="00AC6340" w:rsidP="007A5C99">
            <w:pPr>
              <w:spacing w:before="120"/>
              <w:jc w:val="both"/>
              <w:rPr>
                <w:rFonts w:asciiTheme="majorHAnsi" w:hAnsiTheme="majorHAnsi" w:cstheme="majorHAnsi"/>
                <w:color w:val="000000"/>
                <w:sz w:val="24"/>
                <w:szCs w:val="24"/>
                <w:lang w:eastAsia="vi-VN" w:bidi="vi-VN"/>
              </w:rPr>
            </w:pPr>
          </w:p>
        </w:tc>
      </w:tr>
      <w:tr w:rsidR="00AC6340" w:rsidRPr="00B622EC" w14:paraId="14CAF48D" w14:textId="77777777" w:rsidTr="009C3E48">
        <w:trPr>
          <w:trHeight w:val="540"/>
        </w:trPr>
        <w:tc>
          <w:tcPr>
            <w:tcW w:w="460" w:type="pct"/>
            <w:vMerge/>
            <w:shd w:val="clear" w:color="auto" w:fill="auto"/>
            <w:vAlign w:val="center"/>
          </w:tcPr>
          <w:p w14:paraId="74C9305C" w14:textId="77777777" w:rsidR="00AC6340" w:rsidRPr="00B622EC" w:rsidRDefault="00AC6340"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6551277D" w14:textId="283A3577" w:rsidR="00AC6340" w:rsidRPr="00AD0B6C" w:rsidRDefault="00AC6340" w:rsidP="00BE71AB">
            <w:pPr>
              <w:spacing w:after="0" w:line="240" w:lineRule="auto"/>
              <w:jc w:val="center"/>
              <w:rPr>
                <w:rFonts w:ascii="Times New Roman" w:hAnsi="Times New Roman"/>
                <w:b/>
                <w:color w:val="000000" w:themeColor="text1"/>
                <w:sz w:val="24"/>
                <w:szCs w:val="24"/>
              </w:rPr>
            </w:pPr>
            <w:r w:rsidRPr="00B622EC">
              <w:rPr>
                <w:rFonts w:ascii="Times New Roman" w:hAnsi="Times New Roman"/>
                <w:b/>
                <w:bCs/>
                <w:color w:val="000000" w:themeColor="text1"/>
                <w:sz w:val="24"/>
                <w:szCs w:val="24"/>
              </w:rPr>
              <w:t>Bộ Giáo dục và Đào tạo</w:t>
            </w:r>
            <w:r w:rsidRPr="00BE71AB">
              <w:rPr>
                <w:rFonts w:ascii="Times New Roman" w:hAnsi="Times New Roman"/>
                <w:b/>
                <w:bCs/>
                <w:color w:val="000000" w:themeColor="text1"/>
                <w:sz w:val="24"/>
                <w:szCs w:val="24"/>
              </w:rPr>
              <w:t>, Cao Bằng</w:t>
            </w:r>
            <w:r w:rsidRPr="00AD0B6C">
              <w:rPr>
                <w:rFonts w:ascii="Times New Roman" w:hAnsi="Times New Roman"/>
                <w:b/>
                <w:bCs/>
                <w:color w:val="000000" w:themeColor="text1"/>
                <w:sz w:val="24"/>
                <w:szCs w:val="24"/>
              </w:rPr>
              <w:t>, Phú Yên, Lạng Sơn</w:t>
            </w:r>
          </w:p>
        </w:tc>
        <w:tc>
          <w:tcPr>
            <w:tcW w:w="2362" w:type="pct"/>
            <w:shd w:val="clear" w:color="auto" w:fill="auto"/>
            <w:vAlign w:val="center"/>
          </w:tcPr>
          <w:p w14:paraId="7564E02A" w14:textId="69ED5AE6" w:rsidR="00AC6340" w:rsidRPr="00AD0B6C" w:rsidRDefault="00AC6340" w:rsidP="00BE71AB">
            <w:pPr>
              <w:spacing w:after="0" w:line="240" w:lineRule="auto"/>
              <w:jc w:val="both"/>
              <w:rPr>
                <w:rFonts w:asciiTheme="majorHAnsi" w:hAnsiTheme="majorHAnsi" w:cstheme="majorHAnsi"/>
                <w:color w:val="000000"/>
                <w:sz w:val="24"/>
                <w:szCs w:val="24"/>
                <w:lang w:eastAsia="vi-VN" w:bidi="vi-VN"/>
              </w:rPr>
            </w:pPr>
            <w:r w:rsidRPr="009C3E48">
              <w:rPr>
                <w:rFonts w:ascii="Times New Roman" w:hAnsi="Times New Roman"/>
                <w:color w:val="000000" w:themeColor="text1"/>
                <w:sz w:val="24"/>
                <w:szCs w:val="24"/>
              </w:rPr>
              <w:t xml:space="preserve">Đề xuất quy định làm rõ chính sách là </w:t>
            </w:r>
            <w:r w:rsidRPr="00BE71AB">
              <w:rPr>
                <w:rFonts w:ascii="Times New Roman" w:hAnsi="Times New Roman"/>
                <w:color w:val="000000" w:themeColor="text1"/>
                <w:sz w:val="24"/>
                <w:szCs w:val="24"/>
              </w:rPr>
              <w:t xml:space="preserve">phương án </w:t>
            </w:r>
            <w:r w:rsidRPr="009C3E48">
              <w:rPr>
                <w:rFonts w:ascii="Times New Roman" w:hAnsi="Times New Roman"/>
                <w:color w:val="000000" w:themeColor="text1"/>
                <w:sz w:val="24"/>
                <w:szCs w:val="24"/>
              </w:rPr>
              <w:t>1: Quyết sách của cấp Trung ương (ví dụ: Nghị quyết của Chính phủ, Chỉ thị ...)</w:t>
            </w:r>
            <w:r w:rsidRPr="00AD0B6C">
              <w:rPr>
                <w:rFonts w:ascii="Times New Roman" w:hAnsi="Times New Roman"/>
                <w:color w:val="000000" w:themeColor="text1"/>
                <w:sz w:val="24"/>
                <w:szCs w:val="24"/>
              </w:rPr>
              <w:t xml:space="preserve"> tránh trường hợp mỗi địa phương áp dụng cơ chế riêng</w:t>
            </w:r>
          </w:p>
        </w:tc>
        <w:tc>
          <w:tcPr>
            <w:tcW w:w="1336" w:type="pct"/>
            <w:vMerge/>
            <w:shd w:val="clear" w:color="auto" w:fill="auto"/>
            <w:vAlign w:val="center"/>
          </w:tcPr>
          <w:p w14:paraId="39F8B1D4" w14:textId="77777777" w:rsidR="00AC6340" w:rsidRPr="00B622EC" w:rsidRDefault="00AC6340" w:rsidP="00BE71AB">
            <w:pPr>
              <w:spacing w:before="120"/>
              <w:jc w:val="both"/>
              <w:rPr>
                <w:rFonts w:asciiTheme="majorHAnsi" w:hAnsiTheme="majorHAnsi" w:cstheme="majorHAnsi"/>
                <w:color w:val="000000"/>
                <w:sz w:val="24"/>
                <w:szCs w:val="24"/>
                <w:lang w:eastAsia="vi-VN" w:bidi="vi-VN"/>
              </w:rPr>
            </w:pPr>
          </w:p>
        </w:tc>
      </w:tr>
      <w:tr w:rsidR="00AC6340" w:rsidRPr="00B622EC" w14:paraId="69226103" w14:textId="77777777" w:rsidTr="009C3E48">
        <w:trPr>
          <w:trHeight w:val="540"/>
        </w:trPr>
        <w:tc>
          <w:tcPr>
            <w:tcW w:w="460" w:type="pct"/>
            <w:vMerge/>
            <w:shd w:val="clear" w:color="auto" w:fill="auto"/>
            <w:vAlign w:val="center"/>
          </w:tcPr>
          <w:p w14:paraId="379CCF92" w14:textId="77777777" w:rsidR="00AC6340" w:rsidRPr="00B622EC" w:rsidRDefault="00AC6340"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15D3E4F7" w14:textId="5868CA9B" w:rsidR="00AC6340" w:rsidRPr="00B622EC" w:rsidRDefault="00AC6340" w:rsidP="00BE71AB">
            <w:pPr>
              <w:spacing w:after="0" w:line="240" w:lineRule="auto"/>
              <w:jc w:val="center"/>
              <w:rPr>
                <w:rFonts w:ascii="Times New Roman" w:hAnsi="Times New Roman"/>
                <w:b/>
                <w:color w:val="000000" w:themeColor="text1"/>
                <w:sz w:val="24"/>
                <w:szCs w:val="24"/>
              </w:rPr>
            </w:pPr>
            <w:r w:rsidRPr="00B622EC">
              <w:rPr>
                <w:rFonts w:ascii="Times New Roman" w:hAnsi="Times New Roman"/>
                <w:b/>
                <w:bCs/>
                <w:color w:val="000000" w:themeColor="text1"/>
                <w:sz w:val="24"/>
                <w:szCs w:val="24"/>
                <w:lang w:val="en-US"/>
              </w:rPr>
              <w:t>Bộ Công Thương</w:t>
            </w:r>
          </w:p>
        </w:tc>
        <w:tc>
          <w:tcPr>
            <w:tcW w:w="2362" w:type="pct"/>
            <w:shd w:val="clear" w:color="auto" w:fill="auto"/>
            <w:vAlign w:val="center"/>
          </w:tcPr>
          <w:p w14:paraId="47318223" w14:textId="60C5976A" w:rsidR="00AC6340" w:rsidRPr="00BE71AB" w:rsidRDefault="00AC6340" w:rsidP="00BE71AB">
            <w:pPr>
              <w:spacing w:after="0" w:line="240" w:lineRule="auto"/>
              <w:jc w:val="both"/>
              <w:rPr>
                <w:rFonts w:asciiTheme="majorHAnsi" w:hAnsiTheme="majorHAnsi" w:cstheme="majorHAnsi"/>
                <w:color w:val="000000"/>
                <w:sz w:val="24"/>
                <w:szCs w:val="24"/>
                <w:lang w:eastAsia="vi-VN" w:bidi="vi-VN"/>
              </w:rPr>
            </w:pPr>
            <w:r w:rsidRPr="00BE71AB">
              <w:rPr>
                <w:rFonts w:ascii="Times New Roman" w:hAnsi="Times New Roman"/>
                <w:color w:val="000000" w:themeColor="text1"/>
                <w:sz w:val="24"/>
                <w:szCs w:val="24"/>
              </w:rPr>
              <w:t>Đề</w:t>
            </w:r>
            <w:r w:rsidRPr="00B622EC">
              <w:rPr>
                <w:rFonts w:ascii="Times New Roman" w:hAnsi="Times New Roman"/>
                <w:color w:val="000000" w:themeColor="text1"/>
                <w:sz w:val="24"/>
                <w:szCs w:val="24"/>
              </w:rPr>
              <w:t xml:space="preserve"> nghị cân nhắc việc đưa ra định nghĩa nội dung </w:t>
            </w:r>
            <w:r w:rsidRPr="00BE71AB">
              <w:rPr>
                <w:rFonts w:ascii="Times New Roman" w:hAnsi="Times New Roman"/>
                <w:color w:val="000000" w:themeColor="text1"/>
                <w:sz w:val="24"/>
                <w:szCs w:val="24"/>
              </w:rPr>
              <w:t>chính sách</w:t>
            </w:r>
          </w:p>
          <w:p w14:paraId="7D0391CC" w14:textId="0E570F59" w:rsidR="00AC6340" w:rsidRPr="00B622EC" w:rsidRDefault="00AC6340" w:rsidP="00BE71AB">
            <w:pPr>
              <w:spacing w:after="0" w:line="240" w:lineRule="auto"/>
              <w:jc w:val="both"/>
              <w:rPr>
                <w:rFonts w:asciiTheme="majorHAnsi" w:hAnsiTheme="majorHAnsi" w:cstheme="majorHAnsi"/>
                <w:color w:val="000000"/>
                <w:sz w:val="24"/>
                <w:szCs w:val="24"/>
                <w:lang w:eastAsia="vi-VN" w:bidi="vi-VN"/>
              </w:rPr>
            </w:pPr>
          </w:p>
        </w:tc>
        <w:tc>
          <w:tcPr>
            <w:tcW w:w="1336" w:type="pct"/>
            <w:vMerge/>
            <w:shd w:val="clear" w:color="auto" w:fill="auto"/>
            <w:vAlign w:val="center"/>
          </w:tcPr>
          <w:p w14:paraId="0CFD368C" w14:textId="77777777" w:rsidR="00AC6340" w:rsidRPr="00B622EC" w:rsidRDefault="00AC6340" w:rsidP="00BE71AB">
            <w:pPr>
              <w:spacing w:before="120"/>
              <w:jc w:val="both"/>
              <w:rPr>
                <w:rFonts w:asciiTheme="majorHAnsi" w:hAnsiTheme="majorHAnsi" w:cstheme="majorHAnsi"/>
                <w:color w:val="000000"/>
                <w:sz w:val="24"/>
                <w:szCs w:val="24"/>
                <w:lang w:eastAsia="vi-VN" w:bidi="vi-VN"/>
              </w:rPr>
            </w:pPr>
          </w:p>
        </w:tc>
      </w:tr>
      <w:tr w:rsidR="00AC6340" w:rsidRPr="00B622EC" w14:paraId="554DBCC8" w14:textId="77777777" w:rsidTr="009C3E48">
        <w:tc>
          <w:tcPr>
            <w:tcW w:w="460" w:type="pct"/>
            <w:vMerge/>
            <w:shd w:val="clear" w:color="auto" w:fill="auto"/>
            <w:vAlign w:val="center"/>
          </w:tcPr>
          <w:p w14:paraId="7BD49FF9" w14:textId="4B483B47" w:rsidR="00AC6340" w:rsidRPr="00354A04" w:rsidRDefault="00AC6340"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270A1430" w14:textId="051AA637" w:rsidR="00AC6340" w:rsidRPr="00B622EC" w:rsidRDefault="00AC6340" w:rsidP="00BE71AB">
            <w:pPr>
              <w:spacing w:after="0" w:line="240" w:lineRule="auto"/>
              <w:jc w:val="center"/>
              <w:rPr>
                <w:rFonts w:ascii="Times New Roman" w:hAnsi="Times New Roman"/>
                <w:b/>
                <w:color w:val="000000" w:themeColor="text1"/>
                <w:sz w:val="24"/>
                <w:szCs w:val="24"/>
              </w:rPr>
            </w:pPr>
            <w:r w:rsidRPr="00B622EC">
              <w:rPr>
                <w:rFonts w:ascii="Times New Roman" w:hAnsi="Times New Roman"/>
                <w:b/>
                <w:bCs/>
                <w:color w:val="000000" w:themeColor="text1"/>
                <w:sz w:val="24"/>
                <w:szCs w:val="24"/>
              </w:rPr>
              <w:t>Vụ Tài chính tiền tệ, Bộ KH&amp;ĐT</w:t>
            </w:r>
          </w:p>
        </w:tc>
        <w:tc>
          <w:tcPr>
            <w:tcW w:w="2362" w:type="pct"/>
            <w:shd w:val="clear" w:color="auto" w:fill="auto"/>
            <w:vAlign w:val="center"/>
          </w:tcPr>
          <w:p w14:paraId="6CBAFEF7" w14:textId="1F1CD26A" w:rsidR="00AC6340" w:rsidRPr="00B622EC" w:rsidRDefault="00AC6340" w:rsidP="00BE71AB">
            <w:pPr>
              <w:spacing w:after="0" w:line="240" w:lineRule="auto"/>
              <w:jc w:val="both"/>
              <w:rPr>
                <w:rFonts w:ascii="Times New Roman" w:hAnsi="Times New Roman"/>
                <w:color w:val="000000" w:themeColor="text1"/>
                <w:sz w:val="24"/>
                <w:szCs w:val="24"/>
              </w:rPr>
            </w:pPr>
            <w:r w:rsidRPr="00B622EC">
              <w:rPr>
                <w:rFonts w:ascii="Times New Roman" w:hAnsi="Times New Roman"/>
                <w:color w:val="000000" w:themeColor="text1"/>
                <w:sz w:val="24"/>
                <w:szCs w:val="24"/>
              </w:rPr>
              <w:t>Đề nghị bổ sung dự thảo quy định cụ thể đối với phần “nội hàm chính sách” để các cơ quan liên quan có cơ sở góp ý kiến.</w:t>
            </w:r>
          </w:p>
        </w:tc>
        <w:tc>
          <w:tcPr>
            <w:tcW w:w="1336" w:type="pct"/>
            <w:vMerge/>
            <w:shd w:val="clear" w:color="auto" w:fill="auto"/>
            <w:vAlign w:val="center"/>
          </w:tcPr>
          <w:p w14:paraId="5CD43DA5" w14:textId="78D21351" w:rsidR="00AC6340" w:rsidRPr="009C3E48" w:rsidRDefault="00AC6340" w:rsidP="00BE71AB">
            <w:pPr>
              <w:spacing w:after="0" w:line="240" w:lineRule="auto"/>
              <w:jc w:val="both"/>
              <w:rPr>
                <w:rFonts w:ascii="Times New Roman" w:hAnsi="Times New Roman"/>
                <w:color w:val="000000" w:themeColor="text1"/>
                <w:sz w:val="24"/>
                <w:szCs w:val="24"/>
              </w:rPr>
            </w:pPr>
          </w:p>
        </w:tc>
      </w:tr>
      <w:tr w:rsidR="00AC6340" w:rsidRPr="00B622EC" w14:paraId="1C19435A" w14:textId="77777777" w:rsidTr="009C3E48">
        <w:tc>
          <w:tcPr>
            <w:tcW w:w="460" w:type="pct"/>
            <w:vMerge/>
            <w:shd w:val="clear" w:color="auto" w:fill="auto"/>
            <w:vAlign w:val="center"/>
          </w:tcPr>
          <w:p w14:paraId="2428D6F5" w14:textId="77777777" w:rsidR="00AC6340" w:rsidRPr="00B622EC" w:rsidRDefault="00AC6340"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4DCB421B" w14:textId="50DDCF52" w:rsidR="00AC6340" w:rsidRPr="00B622EC" w:rsidRDefault="00AC6340" w:rsidP="00BE71AB">
            <w:pPr>
              <w:spacing w:after="0" w:line="240" w:lineRule="auto"/>
              <w:jc w:val="center"/>
              <w:rPr>
                <w:rFonts w:ascii="Times New Roman" w:hAnsi="Times New Roman"/>
                <w:b/>
                <w:color w:val="000000" w:themeColor="text1"/>
                <w:sz w:val="24"/>
                <w:szCs w:val="24"/>
              </w:rPr>
            </w:pPr>
            <w:r w:rsidRPr="00B622EC">
              <w:rPr>
                <w:rFonts w:ascii="Times New Roman" w:hAnsi="Times New Roman"/>
                <w:b/>
                <w:bCs/>
                <w:color w:val="000000" w:themeColor="text1"/>
                <w:sz w:val="24"/>
                <w:szCs w:val="24"/>
              </w:rPr>
              <w:t>Viện Nghiên cứu quản lý kinh tế TW</w:t>
            </w:r>
          </w:p>
        </w:tc>
        <w:tc>
          <w:tcPr>
            <w:tcW w:w="2362" w:type="pct"/>
            <w:shd w:val="clear" w:color="auto" w:fill="auto"/>
            <w:vAlign w:val="center"/>
          </w:tcPr>
          <w:p w14:paraId="09B3DC21" w14:textId="2D715D57" w:rsidR="00AC6340" w:rsidRPr="00B622EC" w:rsidRDefault="00AC6340" w:rsidP="00BE71AB">
            <w:pPr>
              <w:spacing w:after="0" w:line="240" w:lineRule="auto"/>
              <w:jc w:val="both"/>
              <w:rPr>
                <w:rFonts w:ascii="Times New Roman" w:hAnsi="Times New Roman"/>
                <w:color w:val="000000" w:themeColor="text1"/>
                <w:sz w:val="24"/>
                <w:szCs w:val="24"/>
              </w:rPr>
            </w:pPr>
            <w:r w:rsidRPr="00B622EC">
              <w:rPr>
                <w:rFonts w:ascii="Times New Roman" w:hAnsi="Times New Roman"/>
                <w:color w:val="000000" w:themeColor="text1"/>
                <w:sz w:val="24"/>
                <w:szCs w:val="24"/>
              </w:rPr>
              <w:t>Đề nghị Dự thảo NĐ làm rõ “chính sách” được sử dụng trong Nghị định này và đảm bảo nhất quán nội dung của Dự thảo NĐ. Đưa những nội dung footnote và các phương án sang Tờ trình</w:t>
            </w:r>
          </w:p>
        </w:tc>
        <w:tc>
          <w:tcPr>
            <w:tcW w:w="1336" w:type="pct"/>
            <w:vMerge/>
            <w:shd w:val="clear" w:color="auto" w:fill="auto"/>
            <w:vAlign w:val="center"/>
          </w:tcPr>
          <w:p w14:paraId="54109B0E" w14:textId="436C0B5D" w:rsidR="00AC6340" w:rsidRPr="009C3E48" w:rsidRDefault="00AC6340" w:rsidP="00BE71AB">
            <w:pPr>
              <w:spacing w:after="0" w:line="240" w:lineRule="auto"/>
              <w:jc w:val="both"/>
              <w:rPr>
                <w:rFonts w:ascii="Times New Roman" w:hAnsi="Times New Roman"/>
                <w:color w:val="000000" w:themeColor="text1"/>
                <w:sz w:val="24"/>
                <w:szCs w:val="24"/>
              </w:rPr>
            </w:pPr>
          </w:p>
        </w:tc>
      </w:tr>
      <w:tr w:rsidR="00AC6340" w:rsidRPr="00B622EC" w14:paraId="3E234E79" w14:textId="77777777" w:rsidTr="009C3E48">
        <w:tc>
          <w:tcPr>
            <w:tcW w:w="460" w:type="pct"/>
            <w:vMerge w:val="restart"/>
            <w:shd w:val="clear" w:color="auto" w:fill="auto"/>
            <w:vAlign w:val="center"/>
          </w:tcPr>
          <w:p w14:paraId="2D16FDF1" w14:textId="77777777" w:rsidR="00AC6340" w:rsidRPr="00B622EC" w:rsidRDefault="00AC6340" w:rsidP="00AC6340">
            <w:pPr>
              <w:spacing w:after="0" w:line="240" w:lineRule="auto"/>
              <w:jc w:val="center"/>
              <w:rPr>
                <w:rFonts w:ascii="Times New Roman" w:hAnsi="Times New Roman"/>
                <w:b/>
                <w:color w:val="000000" w:themeColor="text1"/>
                <w:sz w:val="24"/>
                <w:szCs w:val="24"/>
              </w:rPr>
            </w:pPr>
            <w:r w:rsidRPr="00B622EC">
              <w:rPr>
                <w:rFonts w:ascii="Times New Roman" w:hAnsi="Times New Roman"/>
                <w:b/>
                <w:color w:val="000000" w:themeColor="text1"/>
                <w:sz w:val="24"/>
                <w:szCs w:val="24"/>
              </w:rPr>
              <w:t>Quy mô, lĩnh vực đầu tư PPP</w:t>
            </w:r>
          </w:p>
          <w:p w14:paraId="613AA523" w14:textId="6618D6A6" w:rsidR="00AC6340" w:rsidRPr="00B622EC" w:rsidRDefault="00AC6340" w:rsidP="00AC6340">
            <w:pPr>
              <w:spacing w:after="0" w:line="240" w:lineRule="auto"/>
              <w:jc w:val="center"/>
              <w:rPr>
                <w:rFonts w:ascii="Times New Roman" w:hAnsi="Times New Roman"/>
                <w:b/>
                <w:color w:val="000000" w:themeColor="text1"/>
                <w:sz w:val="24"/>
                <w:szCs w:val="24"/>
              </w:rPr>
            </w:pPr>
            <w:r w:rsidRPr="00B622EC">
              <w:rPr>
                <w:rFonts w:ascii="Times New Roman" w:hAnsi="Times New Roman"/>
                <w:b/>
                <w:color w:val="000000" w:themeColor="text1"/>
                <w:sz w:val="24"/>
                <w:szCs w:val="24"/>
                <w:lang w:val="en-US"/>
              </w:rPr>
              <w:t>(Điều 4)</w:t>
            </w:r>
          </w:p>
        </w:tc>
        <w:tc>
          <w:tcPr>
            <w:tcW w:w="842" w:type="pct"/>
            <w:shd w:val="clear" w:color="auto" w:fill="auto"/>
            <w:vAlign w:val="center"/>
          </w:tcPr>
          <w:p w14:paraId="21DE1C70" w14:textId="7970FA66" w:rsidR="00AC6340" w:rsidRPr="00B622EC" w:rsidRDefault="00AC6340" w:rsidP="00BE71AB">
            <w:pPr>
              <w:spacing w:after="0" w:line="240" w:lineRule="auto"/>
              <w:jc w:val="center"/>
              <w:rPr>
                <w:rFonts w:ascii="Times New Roman" w:hAnsi="Times New Roman"/>
                <w:b/>
                <w:bCs/>
                <w:color w:val="000000" w:themeColor="text1"/>
                <w:sz w:val="24"/>
                <w:szCs w:val="24"/>
                <w:lang w:val="en-US"/>
              </w:rPr>
            </w:pPr>
            <w:r w:rsidRPr="00B622EC">
              <w:rPr>
                <w:rFonts w:ascii="Times New Roman" w:hAnsi="Times New Roman"/>
                <w:b/>
                <w:bCs/>
                <w:color w:val="000000" w:themeColor="text1"/>
                <w:sz w:val="24"/>
                <w:szCs w:val="24"/>
                <w:lang w:val="en-US"/>
              </w:rPr>
              <w:t>Bộ Công Thương</w:t>
            </w:r>
          </w:p>
        </w:tc>
        <w:tc>
          <w:tcPr>
            <w:tcW w:w="2362" w:type="pct"/>
            <w:shd w:val="clear" w:color="auto" w:fill="auto"/>
            <w:vAlign w:val="center"/>
          </w:tcPr>
          <w:p w14:paraId="60F5BDAA" w14:textId="6DBD29BB" w:rsidR="00AC6340" w:rsidRPr="00B622EC" w:rsidRDefault="00AC6340" w:rsidP="00BE71AB">
            <w:pPr>
              <w:spacing w:after="0" w:line="240" w:lineRule="auto"/>
              <w:jc w:val="both"/>
              <w:rPr>
                <w:rFonts w:ascii="Times New Roman" w:hAnsi="Times New Roman"/>
                <w:color w:val="000000" w:themeColor="text1"/>
                <w:sz w:val="24"/>
                <w:szCs w:val="24"/>
              </w:rPr>
            </w:pPr>
            <w:r w:rsidRPr="00B622EC">
              <w:rPr>
                <w:rFonts w:ascii="Times New Roman" w:hAnsi="Times New Roman"/>
                <w:color w:val="000000" w:themeColor="text1"/>
                <w:sz w:val="24"/>
                <w:szCs w:val="24"/>
              </w:rPr>
              <w:t>Đề nghị cân nhắc việc đưa dự án thuộc lĩnh vực điện hạt nhân vào lĩnh vực đầu tư theo phương thức ppp vì tại Danh mục hàng hóa, dịch vụ, địa bàn thực hiện độc quyền nhà nước trong hoạt động thương mại ban hành kèm theo Nghị định số 94/2017/NĐ-CP ngày 10 tháng 8 năm 2017 của Chính phủ có hoạt động xây dựng và vận hành thủy điện đa mục tiêu và điện hạt nhân có ý nghĩa đặc biệt quan trọng về kinh tế - xã hội.</w:t>
            </w:r>
          </w:p>
        </w:tc>
        <w:tc>
          <w:tcPr>
            <w:tcW w:w="1336" w:type="pct"/>
            <w:shd w:val="clear" w:color="auto" w:fill="auto"/>
            <w:vAlign w:val="center"/>
          </w:tcPr>
          <w:p w14:paraId="4E7A1FD0" w14:textId="509ED5AC" w:rsidR="00AC6340" w:rsidRPr="00B622EC" w:rsidRDefault="00AC6340"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Tiếp thu</w:t>
            </w:r>
          </w:p>
        </w:tc>
      </w:tr>
      <w:tr w:rsidR="00AC6340" w:rsidRPr="00B622EC" w14:paraId="3713862A" w14:textId="77777777" w:rsidTr="009C3E48">
        <w:tc>
          <w:tcPr>
            <w:tcW w:w="460" w:type="pct"/>
            <w:vMerge/>
            <w:shd w:val="clear" w:color="auto" w:fill="auto"/>
            <w:vAlign w:val="center"/>
          </w:tcPr>
          <w:p w14:paraId="65C0F495" w14:textId="77777777" w:rsidR="00AC6340" w:rsidRPr="00B622EC" w:rsidRDefault="00AC6340"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3673F5B6" w14:textId="66625697" w:rsidR="00AC6340" w:rsidRPr="00B622EC" w:rsidRDefault="00AC6340" w:rsidP="00BE71AB">
            <w:pPr>
              <w:spacing w:after="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t>Gia Lai</w:t>
            </w:r>
          </w:p>
        </w:tc>
        <w:tc>
          <w:tcPr>
            <w:tcW w:w="2362" w:type="pct"/>
            <w:shd w:val="clear" w:color="auto" w:fill="auto"/>
            <w:vAlign w:val="center"/>
          </w:tcPr>
          <w:p w14:paraId="3CBA1989" w14:textId="1BFF5DB5" w:rsidR="00AC6340" w:rsidRPr="00B622EC" w:rsidRDefault="00AC6340" w:rsidP="00BE71AB">
            <w:pPr>
              <w:spacing w:after="0" w:line="240" w:lineRule="auto"/>
              <w:jc w:val="both"/>
              <w:rPr>
                <w:rFonts w:ascii="Times New Roman" w:hAnsi="Times New Roman"/>
                <w:color w:val="000000" w:themeColor="text1"/>
                <w:sz w:val="24"/>
                <w:szCs w:val="24"/>
              </w:rPr>
            </w:pPr>
            <w:r w:rsidRPr="00B622EC">
              <w:rPr>
                <w:rFonts w:ascii="Times New Roman" w:hAnsi="Times New Roman"/>
                <w:color w:val="000000" w:themeColor="text1"/>
                <w:sz w:val="24"/>
                <w:szCs w:val="24"/>
              </w:rPr>
              <w:t xml:space="preserve">- Đối với về lĩnh vực đầu tư, quy mô dự án PPP, đối với lĩnh vực y tế, giáo dục – đào tạo quy định tại Điều 4, đề nghị nên bổ sung nội dung: Các dự án thuộc lĩnh vực quy định tại điểm d khoản 1 Điều 4 Luật đầu tư theo phương thức đối tác công tư trong các lĩnh vực chi tiết như sau: </w:t>
            </w:r>
          </w:p>
          <w:p w14:paraId="240392EF" w14:textId="77777777" w:rsidR="00AC6340" w:rsidRPr="00B622EC" w:rsidRDefault="00AC6340" w:rsidP="00BE71AB">
            <w:pPr>
              <w:spacing w:after="0" w:line="240" w:lineRule="auto"/>
              <w:jc w:val="both"/>
              <w:rPr>
                <w:rFonts w:ascii="Times New Roman" w:hAnsi="Times New Roman"/>
                <w:color w:val="000000" w:themeColor="text1"/>
                <w:sz w:val="24"/>
                <w:szCs w:val="24"/>
              </w:rPr>
            </w:pPr>
            <w:r w:rsidRPr="00B622EC">
              <w:rPr>
                <w:rFonts w:ascii="Times New Roman" w:hAnsi="Times New Roman"/>
                <w:color w:val="000000" w:themeColor="text1"/>
                <w:sz w:val="24"/>
                <w:szCs w:val="24"/>
              </w:rPr>
              <w:t xml:space="preserve">+ Cơ sở hạ tầng, cơ sở vật chất, trang thiết bị phục vụ các hoạt động giáo dục đào tạo và giáo dục nghề nghiệp thuộc các cấp học từ mầm non đến đại học. </w:t>
            </w:r>
          </w:p>
          <w:p w14:paraId="19A60B14" w14:textId="4A72751C" w:rsidR="00AC6340" w:rsidRPr="00B622EC" w:rsidRDefault="00AC6340" w:rsidP="00BE71AB">
            <w:pPr>
              <w:spacing w:after="0" w:line="240" w:lineRule="auto"/>
              <w:jc w:val="both"/>
              <w:rPr>
                <w:rFonts w:ascii="Times New Roman" w:hAnsi="Times New Roman"/>
                <w:color w:val="000000" w:themeColor="text1"/>
                <w:sz w:val="24"/>
                <w:szCs w:val="24"/>
              </w:rPr>
            </w:pPr>
            <w:r w:rsidRPr="00B622EC">
              <w:rPr>
                <w:rFonts w:ascii="Times New Roman" w:hAnsi="Times New Roman"/>
                <w:color w:val="000000" w:themeColor="text1"/>
                <w:sz w:val="24"/>
                <w:szCs w:val="24"/>
              </w:rPr>
              <w:t>+ Cơ sở hạ tầng, cơ sở vật chất, trang thiết bị phục vụ các hoạt động thuộc lĩnh vực y tế.</w:t>
            </w:r>
          </w:p>
        </w:tc>
        <w:tc>
          <w:tcPr>
            <w:tcW w:w="1336" w:type="pct"/>
            <w:shd w:val="clear" w:color="auto" w:fill="auto"/>
            <w:vAlign w:val="center"/>
          </w:tcPr>
          <w:p w14:paraId="1203CE71" w14:textId="75BA6D7A" w:rsidR="00AC6340" w:rsidRPr="00B622EC" w:rsidRDefault="00AC6340"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Tiếp thu</w:t>
            </w:r>
          </w:p>
        </w:tc>
      </w:tr>
      <w:tr w:rsidR="00AC6340" w:rsidRPr="00B622EC" w14:paraId="77DA8EB6" w14:textId="77777777" w:rsidTr="009C3E48">
        <w:tc>
          <w:tcPr>
            <w:tcW w:w="460" w:type="pct"/>
            <w:vMerge/>
            <w:shd w:val="clear" w:color="auto" w:fill="auto"/>
            <w:vAlign w:val="center"/>
          </w:tcPr>
          <w:p w14:paraId="035781BE" w14:textId="77777777" w:rsidR="00AC6340" w:rsidRPr="00B622EC" w:rsidRDefault="00AC6340"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4F18FF02" w14:textId="6C635B6D" w:rsidR="00AC6340" w:rsidRPr="00B622EC" w:rsidRDefault="00AC6340" w:rsidP="00BE71AB">
            <w:pPr>
              <w:spacing w:after="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t>Hà Nam</w:t>
            </w:r>
          </w:p>
        </w:tc>
        <w:tc>
          <w:tcPr>
            <w:tcW w:w="2362" w:type="pct"/>
            <w:shd w:val="clear" w:color="auto" w:fill="auto"/>
            <w:vAlign w:val="center"/>
          </w:tcPr>
          <w:p w14:paraId="0CFBD748" w14:textId="576AC403" w:rsidR="00AC6340" w:rsidRPr="00B622EC" w:rsidRDefault="00AC6340" w:rsidP="00BE71AB">
            <w:pPr>
              <w:spacing w:after="0" w:line="240" w:lineRule="auto"/>
              <w:jc w:val="both"/>
              <w:rPr>
                <w:rFonts w:ascii="Times New Roman" w:hAnsi="Times New Roman"/>
                <w:color w:val="000000" w:themeColor="text1"/>
                <w:sz w:val="24"/>
                <w:szCs w:val="24"/>
              </w:rPr>
            </w:pPr>
            <w:r w:rsidRPr="00B622EC">
              <w:rPr>
                <w:rFonts w:ascii="Times New Roman" w:hAnsi="Times New Roman"/>
                <w:color w:val="000000" w:themeColor="text1"/>
                <w:sz w:val="24"/>
                <w:szCs w:val="24"/>
              </w:rPr>
              <w:t>Mục a, Khoản 1, Điều 4: Lĩnh vực “Đường bộ” đề nghị quy định chi tiết đường bộ có bao gồm đường trong đô thị không.</w:t>
            </w:r>
          </w:p>
        </w:tc>
        <w:tc>
          <w:tcPr>
            <w:tcW w:w="1336" w:type="pct"/>
            <w:shd w:val="clear" w:color="auto" w:fill="auto"/>
            <w:vAlign w:val="center"/>
          </w:tcPr>
          <w:p w14:paraId="347E99AF" w14:textId="707A73BA" w:rsidR="00AC6340" w:rsidRPr="00B622EC" w:rsidRDefault="00AC6340" w:rsidP="00BE71AB">
            <w:pPr>
              <w:spacing w:after="0" w:line="240" w:lineRule="auto"/>
              <w:jc w:val="both"/>
              <w:rPr>
                <w:rFonts w:ascii="Times New Roman" w:hAnsi="Times New Roman"/>
                <w:color w:val="000000" w:themeColor="text1"/>
                <w:sz w:val="24"/>
                <w:szCs w:val="24"/>
                <w:lang w:val="nl-NL"/>
              </w:rPr>
            </w:pPr>
            <w:r w:rsidRPr="00B622EC">
              <w:rPr>
                <w:rFonts w:ascii="Times New Roman" w:hAnsi="Times New Roman"/>
                <w:color w:val="000000" w:themeColor="text1"/>
                <w:sz w:val="24"/>
                <w:szCs w:val="24"/>
                <w:lang w:val="nl-NL"/>
              </w:rPr>
              <w:t>Việc quy định chi tiết lĩnh vực đường bộ theo hướng dẫn của Bộ Giao thông vận tải</w:t>
            </w:r>
          </w:p>
        </w:tc>
      </w:tr>
      <w:tr w:rsidR="00AC6340" w:rsidRPr="00B622EC" w14:paraId="2F6D2BA8" w14:textId="77777777" w:rsidTr="009C3E48">
        <w:tc>
          <w:tcPr>
            <w:tcW w:w="460" w:type="pct"/>
            <w:vMerge/>
            <w:shd w:val="clear" w:color="auto" w:fill="auto"/>
            <w:vAlign w:val="center"/>
          </w:tcPr>
          <w:p w14:paraId="429261D0" w14:textId="77777777" w:rsidR="00AC6340" w:rsidRPr="00B622EC" w:rsidRDefault="00AC6340" w:rsidP="00BE71AB">
            <w:pPr>
              <w:spacing w:after="0" w:line="240" w:lineRule="auto"/>
              <w:jc w:val="center"/>
              <w:rPr>
                <w:rFonts w:ascii="Times New Roman" w:hAnsi="Times New Roman"/>
                <w:b/>
                <w:color w:val="000000" w:themeColor="text1"/>
                <w:sz w:val="24"/>
                <w:szCs w:val="24"/>
                <w:lang w:val="nl-NL"/>
              </w:rPr>
            </w:pPr>
          </w:p>
        </w:tc>
        <w:tc>
          <w:tcPr>
            <w:tcW w:w="842" w:type="pct"/>
            <w:shd w:val="clear" w:color="auto" w:fill="auto"/>
            <w:vAlign w:val="center"/>
          </w:tcPr>
          <w:p w14:paraId="04BF3E36" w14:textId="40800E21" w:rsidR="00AC6340" w:rsidRPr="00B622EC" w:rsidRDefault="00AC6340" w:rsidP="00BE71AB">
            <w:pPr>
              <w:spacing w:after="0" w:line="240" w:lineRule="auto"/>
              <w:jc w:val="center"/>
              <w:rPr>
                <w:rFonts w:ascii="Times New Roman" w:hAnsi="Times New Roman"/>
                <w:b/>
                <w:color w:val="000000" w:themeColor="text1"/>
                <w:sz w:val="24"/>
                <w:szCs w:val="24"/>
                <w:lang w:val="nl-NL"/>
              </w:rPr>
            </w:pPr>
            <w:r w:rsidRPr="00B622EC">
              <w:rPr>
                <w:rFonts w:ascii="Times New Roman" w:hAnsi="Times New Roman"/>
                <w:b/>
                <w:color w:val="000000" w:themeColor="text1"/>
                <w:sz w:val="24"/>
                <w:szCs w:val="24"/>
                <w:lang w:val="nl-NL"/>
              </w:rPr>
              <w:t xml:space="preserve">Nghệ An, Hà Giang, Lạng Sơn, </w:t>
            </w:r>
            <w:r w:rsidRPr="00B622EC">
              <w:rPr>
                <w:rFonts w:ascii="Times New Roman" w:hAnsi="Times New Roman"/>
                <w:b/>
                <w:color w:val="000000" w:themeColor="text1"/>
                <w:sz w:val="24"/>
                <w:szCs w:val="24"/>
              </w:rPr>
              <w:t>Viện Chiến lược phát triển, Bộ KH&amp;ĐT</w:t>
            </w:r>
          </w:p>
        </w:tc>
        <w:tc>
          <w:tcPr>
            <w:tcW w:w="2362" w:type="pct"/>
            <w:shd w:val="clear" w:color="auto" w:fill="auto"/>
            <w:vAlign w:val="center"/>
          </w:tcPr>
          <w:p w14:paraId="2961D920" w14:textId="40A795D4" w:rsidR="00AC6340" w:rsidRPr="00B622EC" w:rsidRDefault="00AC6340" w:rsidP="00BE71AB">
            <w:pPr>
              <w:spacing w:after="0" w:line="240" w:lineRule="auto"/>
              <w:jc w:val="both"/>
              <w:rPr>
                <w:rFonts w:ascii="Times New Roman" w:hAnsi="Times New Roman"/>
                <w:color w:val="000000" w:themeColor="text1"/>
                <w:sz w:val="24"/>
                <w:szCs w:val="24"/>
                <w:lang w:val="nl-NL"/>
              </w:rPr>
            </w:pPr>
            <w:r w:rsidRPr="00B622EC">
              <w:rPr>
                <w:rFonts w:ascii="Times New Roman" w:hAnsi="Times New Roman"/>
                <w:color w:val="000000" w:themeColor="text1"/>
                <w:sz w:val="24"/>
                <w:szCs w:val="24"/>
              </w:rPr>
              <w:t xml:space="preserve">Về quy mô đầu tư: </w:t>
            </w:r>
            <w:r w:rsidRPr="00B622EC">
              <w:rPr>
                <w:rFonts w:ascii="Times New Roman" w:hAnsi="Times New Roman"/>
                <w:color w:val="000000" w:themeColor="text1"/>
                <w:sz w:val="24"/>
                <w:szCs w:val="24"/>
                <w:lang w:val="nl-NL"/>
              </w:rPr>
              <w:t>Theo quy định tại Luật</w:t>
            </w:r>
          </w:p>
        </w:tc>
        <w:tc>
          <w:tcPr>
            <w:tcW w:w="1336" w:type="pct"/>
            <w:shd w:val="clear" w:color="auto" w:fill="auto"/>
            <w:vAlign w:val="center"/>
          </w:tcPr>
          <w:p w14:paraId="29D36F9A" w14:textId="45BA6057" w:rsidR="00AC6340" w:rsidRPr="00B622EC" w:rsidRDefault="00AC6340" w:rsidP="00BE71AB">
            <w:pPr>
              <w:spacing w:after="0" w:line="240" w:lineRule="auto"/>
              <w:jc w:val="both"/>
              <w:rPr>
                <w:rFonts w:ascii="Times New Roman" w:hAnsi="Times New Roman"/>
                <w:color w:val="000000" w:themeColor="text1"/>
                <w:sz w:val="24"/>
                <w:szCs w:val="24"/>
              </w:rPr>
            </w:pPr>
            <w:r w:rsidRPr="00B622EC">
              <w:rPr>
                <w:rFonts w:ascii="Times New Roman" w:hAnsi="Times New Roman"/>
                <w:color w:val="000000" w:themeColor="text1"/>
                <w:sz w:val="24"/>
                <w:szCs w:val="24"/>
              </w:rPr>
              <w:t>Dự thảo đã quy định rõ quy mô tối thiểu từng lĩnh vực</w:t>
            </w:r>
          </w:p>
        </w:tc>
      </w:tr>
      <w:tr w:rsidR="00AC6340" w:rsidRPr="00B622EC" w14:paraId="1DF3AC72" w14:textId="77777777" w:rsidTr="009C3E48">
        <w:tc>
          <w:tcPr>
            <w:tcW w:w="460" w:type="pct"/>
            <w:vMerge/>
            <w:shd w:val="clear" w:color="auto" w:fill="auto"/>
            <w:vAlign w:val="center"/>
          </w:tcPr>
          <w:p w14:paraId="2748D96D" w14:textId="77777777" w:rsidR="00AC6340" w:rsidRPr="00B622EC" w:rsidRDefault="00AC6340"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30C9EAD0" w14:textId="5D8D0BD2" w:rsidR="00AC6340" w:rsidRPr="00B622EC" w:rsidRDefault="00AC6340" w:rsidP="00BE71AB">
            <w:pPr>
              <w:spacing w:after="0" w:line="240" w:lineRule="auto"/>
              <w:jc w:val="center"/>
              <w:rPr>
                <w:rFonts w:ascii="Times New Roman" w:hAnsi="Times New Roman"/>
                <w:b/>
                <w:color w:val="000000" w:themeColor="text1"/>
                <w:sz w:val="24"/>
                <w:szCs w:val="24"/>
              </w:rPr>
            </w:pPr>
            <w:r w:rsidRPr="00B622EC">
              <w:rPr>
                <w:rFonts w:ascii="Times New Roman" w:hAnsi="Times New Roman"/>
                <w:b/>
                <w:color w:val="000000" w:themeColor="text1"/>
                <w:sz w:val="24"/>
                <w:szCs w:val="24"/>
              </w:rPr>
              <w:t>Viện Chiến lược phát triển, Bộ KH&amp;ĐT</w:t>
            </w:r>
          </w:p>
        </w:tc>
        <w:tc>
          <w:tcPr>
            <w:tcW w:w="2362" w:type="pct"/>
            <w:shd w:val="clear" w:color="auto" w:fill="auto"/>
            <w:vAlign w:val="center"/>
          </w:tcPr>
          <w:p w14:paraId="282B4617" w14:textId="47B987C3" w:rsidR="00AC6340" w:rsidRPr="00B622EC" w:rsidRDefault="00AC6340" w:rsidP="00BE71AB">
            <w:pPr>
              <w:spacing w:after="0" w:line="240" w:lineRule="auto"/>
              <w:jc w:val="both"/>
              <w:rPr>
                <w:rFonts w:ascii="Times New Roman" w:hAnsi="Times New Roman"/>
                <w:color w:val="000000" w:themeColor="text1"/>
                <w:sz w:val="24"/>
                <w:szCs w:val="24"/>
              </w:rPr>
            </w:pPr>
            <w:r w:rsidRPr="00B622EC">
              <w:rPr>
                <w:rFonts w:ascii="Times New Roman" w:hAnsi="Times New Roman"/>
                <w:color w:val="000000" w:themeColor="text1"/>
                <w:sz w:val="24"/>
                <w:szCs w:val="24"/>
              </w:rPr>
              <w:t>- Để đảm bảo tính bao trùm (thực tế cũng cho thấy, sau khi Luật PPP được ban hành một số bộ/ngành, địa phương và khu vực tư nhân đã có kiến nghị đề nghị bổ sung lĩnh vực đầu tư theo phương thức PPP, ví dụ, lĩnh vực văn hóa, di sản,…) đề nghị bổ sung thêm một điều khoản mở về lĩnh vực đầu tư đối với dự án PPP trong Nghị định, trong đó quy định rõ cấp thẩm quyền được quyết định bổ sung.</w:t>
            </w:r>
          </w:p>
          <w:p w14:paraId="1F2CAE6F" w14:textId="7C56D20B" w:rsidR="00AC6340" w:rsidRPr="00B622EC" w:rsidRDefault="00AC6340" w:rsidP="00BE71AB">
            <w:pPr>
              <w:spacing w:after="0" w:line="240" w:lineRule="auto"/>
              <w:jc w:val="both"/>
              <w:rPr>
                <w:rFonts w:ascii="Times New Roman" w:hAnsi="Times New Roman"/>
                <w:color w:val="000000" w:themeColor="text1"/>
                <w:sz w:val="24"/>
                <w:szCs w:val="24"/>
              </w:rPr>
            </w:pPr>
            <w:r w:rsidRPr="00B622EC">
              <w:rPr>
                <w:rFonts w:ascii="Times New Roman" w:hAnsi="Times New Roman"/>
                <w:color w:val="000000" w:themeColor="text1"/>
                <w:sz w:val="24"/>
                <w:szCs w:val="24"/>
              </w:rPr>
              <w:t xml:space="preserve">- Dự thảo hiện vẫn coi mọi dự án PPP là như nhau. Điều này không phù hợp với thực tế và dẫn tới nhiều dự án quy mô nhỏ hơn cũng phải đi theo quy trình của các dự án lớn, quan trọng quốc gia. Dự thảo nên nghiên cứu phân </w:t>
            </w:r>
            <w:r w:rsidRPr="00B622EC">
              <w:rPr>
                <w:rFonts w:ascii="Times New Roman" w:hAnsi="Times New Roman"/>
                <w:color w:val="000000" w:themeColor="text1"/>
                <w:sz w:val="24"/>
                <w:szCs w:val="24"/>
              </w:rPr>
              <w:lastRenderedPageBreak/>
              <w:t>loại các dự án theo tính chất và quy mô vốn để làm cơ sở xác định yêu cầu nội dung của báo cáo nghiên cứu tiền khả thi và báo cáo nghiên cứu khả thi và thời hạn thẩm định.</w:t>
            </w:r>
          </w:p>
          <w:p w14:paraId="4D41FA97" w14:textId="18E36C26" w:rsidR="00AC6340" w:rsidRPr="00B622EC" w:rsidRDefault="00AC6340" w:rsidP="00BE71AB">
            <w:pPr>
              <w:spacing w:after="0" w:line="240" w:lineRule="auto"/>
              <w:jc w:val="both"/>
              <w:rPr>
                <w:rFonts w:ascii="Times New Roman" w:hAnsi="Times New Roman"/>
                <w:color w:val="000000" w:themeColor="text1"/>
                <w:sz w:val="24"/>
                <w:szCs w:val="24"/>
              </w:rPr>
            </w:pPr>
            <w:r w:rsidRPr="00B622EC">
              <w:rPr>
                <w:rFonts w:ascii="Times New Roman" w:hAnsi="Times New Roman"/>
                <w:color w:val="000000" w:themeColor="text1"/>
                <w:sz w:val="24"/>
                <w:szCs w:val="24"/>
              </w:rPr>
              <w:t xml:space="preserve">- Phần quy định về nội dung của báo cáo nghiên cứu tiền khả thi và báo cáo nghiên cứu khả thi nên quy định chi tiết hơn và có những nội dung đặc trưng của một dự án PPP để làm cơ sở thẩm định. </w:t>
            </w:r>
          </w:p>
        </w:tc>
        <w:tc>
          <w:tcPr>
            <w:tcW w:w="1336" w:type="pct"/>
            <w:shd w:val="clear" w:color="auto" w:fill="auto"/>
            <w:vAlign w:val="center"/>
          </w:tcPr>
          <w:p w14:paraId="77374234" w14:textId="03A358EA" w:rsidR="00AC6340" w:rsidRPr="00B622EC" w:rsidRDefault="00AC6340" w:rsidP="00BE71AB">
            <w:pPr>
              <w:spacing w:after="0" w:line="240" w:lineRule="auto"/>
              <w:jc w:val="both"/>
              <w:rPr>
                <w:rFonts w:ascii="Times New Roman" w:hAnsi="Times New Roman"/>
                <w:color w:val="000000" w:themeColor="text1"/>
                <w:sz w:val="24"/>
                <w:szCs w:val="24"/>
              </w:rPr>
            </w:pPr>
            <w:r w:rsidRPr="00B622EC">
              <w:rPr>
                <w:rFonts w:ascii="Times New Roman" w:hAnsi="Times New Roman"/>
                <w:color w:val="000000" w:themeColor="text1"/>
                <w:sz w:val="24"/>
                <w:szCs w:val="24"/>
              </w:rPr>
              <w:lastRenderedPageBreak/>
              <w:t xml:space="preserve">Các lĩnh vực đầu tư PPP đã được khu biệt tại Luật nhằm tập trung nguồn lực. Việc thực hiện dự án PPP tuân thủ đầy đủ quy trình nhằm tiệm cận với thông lệ quốc tế, tăng khả năng thu hút các nhà đầu tư nước ngoài. </w:t>
            </w:r>
          </w:p>
        </w:tc>
      </w:tr>
      <w:tr w:rsidR="00AC6340" w:rsidRPr="00B622EC" w14:paraId="5B86A306" w14:textId="77777777" w:rsidTr="009C3E48">
        <w:tc>
          <w:tcPr>
            <w:tcW w:w="460" w:type="pct"/>
            <w:vMerge/>
            <w:shd w:val="clear" w:color="auto" w:fill="auto"/>
            <w:vAlign w:val="center"/>
          </w:tcPr>
          <w:p w14:paraId="553210C1" w14:textId="77777777" w:rsidR="00AC6340" w:rsidRPr="00B622EC" w:rsidRDefault="00AC6340"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7CB99C8B" w14:textId="3AF26E0B" w:rsidR="00AC6340" w:rsidRPr="00B622EC" w:rsidRDefault="00AC6340" w:rsidP="00BE71AB">
            <w:pPr>
              <w:spacing w:after="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t>Thanh tra Bộ KH&amp;ĐT</w:t>
            </w:r>
          </w:p>
        </w:tc>
        <w:tc>
          <w:tcPr>
            <w:tcW w:w="2362" w:type="pct"/>
            <w:shd w:val="clear" w:color="auto" w:fill="auto"/>
            <w:vAlign w:val="center"/>
          </w:tcPr>
          <w:p w14:paraId="5480D3FB" w14:textId="2AB4AE7F" w:rsidR="00AC6340" w:rsidRPr="00B622EC" w:rsidRDefault="00AC6340"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 xml:space="preserve">Khoản 3 Điều 4 Dự thảo cụ thể hóa và quy định chi tiết về lĩnh vực đầu tư bao gồm:  thủy lợi; cung cấp nước </w:t>
            </w:r>
            <w:proofErr w:type="gramStart"/>
            <w:r w:rsidRPr="00B622EC">
              <w:rPr>
                <w:rFonts w:ascii="Times New Roman" w:hAnsi="Times New Roman"/>
                <w:color w:val="000000" w:themeColor="text1"/>
                <w:sz w:val="24"/>
                <w:szCs w:val="24"/>
                <w:lang w:val="en-US"/>
              </w:rPr>
              <w:t>sạch,  thoát</w:t>
            </w:r>
            <w:proofErr w:type="gramEnd"/>
            <w:r w:rsidRPr="00B622EC">
              <w:rPr>
                <w:rFonts w:ascii="Times New Roman" w:hAnsi="Times New Roman"/>
                <w:color w:val="000000" w:themeColor="text1"/>
                <w:sz w:val="24"/>
                <w:szCs w:val="24"/>
                <w:lang w:val="en-US"/>
              </w:rPr>
              <w:t xml:space="preserve"> nước và xử lý nước thải; xử lý chất thải tại đô thị, nông thôn, địa bàn có điều kiện kinh tế - xã hội khó khăn, đặc biệt khó khăn. Tuy nhiên, nội dung như Dự thảo chỉ là việc nhắc lại và chia lĩnh vực đầu tư đã được quy định tại điểm c khoản 1 Điều 4 Luật PPP </w:t>
            </w:r>
            <w:r w:rsidRPr="00B622EC">
              <w:rPr>
                <w:rFonts w:ascii="Times New Roman" w:hAnsi="Times New Roman"/>
                <w:color w:val="000000" w:themeColor="text1"/>
                <w:sz w:val="24"/>
                <w:szCs w:val="24"/>
                <w:lang w:val="en-US"/>
              </w:rPr>
              <w:sym w:font="Wingdings" w:char="F0E0"/>
            </w:r>
            <w:r w:rsidRPr="00B622EC">
              <w:rPr>
                <w:rFonts w:ascii="Times New Roman" w:hAnsi="Times New Roman"/>
                <w:color w:val="000000" w:themeColor="text1"/>
                <w:sz w:val="24"/>
                <w:szCs w:val="24"/>
                <w:lang w:val="en-US"/>
              </w:rPr>
              <w:t xml:space="preserve"> đề nghị Dự thảo phân tách và quy định rõ lĩnh vực đầu tư. VD: thủy lợi có thể bao gồm điều hòa, phân phối, cấp tưới, tiêu…;xử lý chất thải có thể bao gồm xử lý chất thải rắn, xử lý chất thải thông thường, xử lý khí thải công nghiệp.</w:t>
            </w:r>
          </w:p>
        </w:tc>
        <w:tc>
          <w:tcPr>
            <w:tcW w:w="1336" w:type="pct"/>
            <w:shd w:val="clear" w:color="auto" w:fill="auto"/>
            <w:vAlign w:val="center"/>
          </w:tcPr>
          <w:p w14:paraId="6D511B06" w14:textId="5D80CDE2" w:rsidR="00AC6340" w:rsidRPr="00B622EC" w:rsidRDefault="00AC6340"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Dự thảo đã quy định chi tiết các lĩnh vực</w:t>
            </w:r>
          </w:p>
        </w:tc>
      </w:tr>
      <w:tr w:rsidR="00AC6340" w:rsidRPr="00B622EC" w14:paraId="74457F63" w14:textId="77777777" w:rsidTr="009C3E48">
        <w:tc>
          <w:tcPr>
            <w:tcW w:w="460" w:type="pct"/>
            <w:vMerge/>
            <w:shd w:val="clear" w:color="auto" w:fill="auto"/>
            <w:vAlign w:val="center"/>
          </w:tcPr>
          <w:p w14:paraId="5729021B" w14:textId="77777777" w:rsidR="00AC6340" w:rsidRPr="00B622EC" w:rsidRDefault="00AC6340"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5B42B959" w14:textId="273970A1" w:rsidR="00AC6340" w:rsidRPr="00B622EC" w:rsidRDefault="00AC6340" w:rsidP="00BE71AB">
            <w:pPr>
              <w:spacing w:after="0" w:line="240" w:lineRule="auto"/>
              <w:jc w:val="center"/>
              <w:rPr>
                <w:rFonts w:ascii="Times New Roman" w:hAnsi="Times New Roman"/>
                <w:b/>
                <w:color w:val="000000" w:themeColor="text1"/>
                <w:sz w:val="24"/>
                <w:szCs w:val="24"/>
              </w:rPr>
            </w:pPr>
            <w:r w:rsidRPr="00B622EC">
              <w:rPr>
                <w:rFonts w:ascii="Times New Roman" w:hAnsi="Times New Roman"/>
                <w:b/>
                <w:color w:val="000000" w:themeColor="text1"/>
                <w:sz w:val="24"/>
                <w:szCs w:val="24"/>
              </w:rPr>
              <w:t>Viện nghiên cứu quản lý kinh tế TW</w:t>
            </w:r>
          </w:p>
        </w:tc>
        <w:tc>
          <w:tcPr>
            <w:tcW w:w="2362" w:type="pct"/>
            <w:shd w:val="clear" w:color="auto" w:fill="auto"/>
            <w:vAlign w:val="center"/>
          </w:tcPr>
          <w:p w14:paraId="29CD689F" w14:textId="040FED25" w:rsidR="00AC6340" w:rsidRPr="00B622EC" w:rsidRDefault="00AC6340" w:rsidP="00BE71AB">
            <w:pPr>
              <w:tabs>
                <w:tab w:val="left" w:pos="308"/>
              </w:tabs>
              <w:spacing w:after="0" w:line="240" w:lineRule="auto"/>
              <w:ind w:left="24"/>
              <w:rPr>
                <w:rFonts w:ascii="Times New Roman" w:hAnsi="Times New Roman"/>
                <w:color w:val="000000" w:themeColor="text1"/>
                <w:sz w:val="24"/>
                <w:szCs w:val="24"/>
              </w:rPr>
            </w:pPr>
            <w:r w:rsidRPr="00B622EC">
              <w:rPr>
                <w:rFonts w:ascii="Times New Roman" w:hAnsi="Times New Roman"/>
                <w:color w:val="000000" w:themeColor="text1"/>
                <w:sz w:val="24"/>
                <w:szCs w:val="24"/>
              </w:rPr>
              <w:t>Tại điều 4, tiêu đề khoản 1, 2, 3, 4 và 5 nên ghi rõ tên lĩnh vực theo quy định của Luật PPP để dễ theo dõi. Ví dụ: “Các dự án thuộc lĩnh vực</w:t>
            </w:r>
            <w:r w:rsidRPr="00265013">
              <w:rPr>
                <w:rFonts w:ascii="Times New Roman" w:hAnsi="Times New Roman"/>
                <w:color w:val="000000" w:themeColor="text1"/>
                <w:sz w:val="24"/>
                <w:szCs w:val="24"/>
              </w:rPr>
              <w:t xml:space="preserve"> </w:t>
            </w:r>
            <w:r w:rsidRPr="00265013">
              <w:rPr>
                <w:rFonts w:ascii="Times New Roman" w:hAnsi="Times New Roman"/>
                <w:bCs/>
                <w:iCs/>
                <w:color w:val="000000" w:themeColor="text1"/>
                <w:sz w:val="24"/>
                <w:szCs w:val="24"/>
              </w:rPr>
              <w:t>giao thông vận tải</w:t>
            </w:r>
            <w:r w:rsidRPr="00265013">
              <w:rPr>
                <w:rFonts w:ascii="Times New Roman" w:hAnsi="Times New Roman"/>
                <w:color w:val="000000" w:themeColor="text1"/>
                <w:sz w:val="24"/>
                <w:szCs w:val="24"/>
              </w:rPr>
              <w:t>....”</w:t>
            </w:r>
          </w:p>
        </w:tc>
        <w:tc>
          <w:tcPr>
            <w:tcW w:w="1336" w:type="pct"/>
            <w:shd w:val="clear" w:color="auto" w:fill="auto"/>
            <w:vAlign w:val="center"/>
          </w:tcPr>
          <w:p w14:paraId="483354B5" w14:textId="54CB1471" w:rsidR="00AC6340" w:rsidRPr="00B622EC" w:rsidRDefault="00AC6340"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Tiếp thu</w:t>
            </w:r>
          </w:p>
        </w:tc>
      </w:tr>
      <w:tr w:rsidR="00BE71AB" w:rsidRPr="00B622EC" w14:paraId="67F3704C" w14:textId="77777777" w:rsidTr="009C3E48">
        <w:trPr>
          <w:trHeight w:val="1104"/>
        </w:trPr>
        <w:tc>
          <w:tcPr>
            <w:tcW w:w="460" w:type="pct"/>
            <w:vMerge w:val="restart"/>
            <w:shd w:val="clear" w:color="auto" w:fill="auto"/>
            <w:vAlign w:val="center"/>
          </w:tcPr>
          <w:p w14:paraId="7CCF10F4" w14:textId="4ADB100F" w:rsidR="00BE71AB" w:rsidRPr="00B622EC" w:rsidRDefault="00BE71AB" w:rsidP="00BE71AB">
            <w:pPr>
              <w:spacing w:after="0" w:line="240" w:lineRule="auto"/>
              <w:jc w:val="center"/>
              <w:rPr>
                <w:rFonts w:ascii="Times New Roman" w:hAnsi="Times New Roman"/>
                <w:b/>
                <w:color w:val="000000" w:themeColor="text1"/>
                <w:sz w:val="24"/>
                <w:szCs w:val="24"/>
              </w:rPr>
            </w:pPr>
            <w:r w:rsidRPr="00B622EC">
              <w:rPr>
                <w:rFonts w:ascii="Times New Roman" w:hAnsi="Times New Roman"/>
                <w:b/>
                <w:color w:val="000000" w:themeColor="text1"/>
                <w:sz w:val="24"/>
                <w:szCs w:val="24"/>
              </w:rPr>
              <w:t>Lưu trữ trong đầu tư PPP (Điều 5)</w:t>
            </w:r>
          </w:p>
        </w:tc>
        <w:tc>
          <w:tcPr>
            <w:tcW w:w="842" w:type="pct"/>
            <w:shd w:val="clear" w:color="auto" w:fill="auto"/>
            <w:vAlign w:val="center"/>
          </w:tcPr>
          <w:p w14:paraId="2ECA4DE3" w14:textId="530EDEF7" w:rsidR="00BE71AB" w:rsidRPr="00B622EC" w:rsidRDefault="00BE71AB" w:rsidP="00BE71AB">
            <w:pPr>
              <w:spacing w:after="0" w:line="240" w:lineRule="auto"/>
              <w:jc w:val="center"/>
              <w:rPr>
                <w:rFonts w:ascii="Times New Roman" w:hAnsi="Times New Roman"/>
                <w:b/>
                <w:color w:val="000000" w:themeColor="text1"/>
                <w:sz w:val="24"/>
                <w:szCs w:val="24"/>
              </w:rPr>
            </w:pPr>
            <w:r w:rsidRPr="00B622EC">
              <w:rPr>
                <w:rFonts w:ascii="Times New Roman" w:hAnsi="Times New Roman"/>
                <w:b/>
                <w:color w:val="000000" w:themeColor="text1"/>
                <w:sz w:val="24"/>
                <w:szCs w:val="24"/>
              </w:rPr>
              <w:t>Bộ Giáo dục và Đào tạo, Bộ Quốc Phòng</w:t>
            </w:r>
          </w:p>
        </w:tc>
        <w:tc>
          <w:tcPr>
            <w:tcW w:w="2362" w:type="pct"/>
            <w:shd w:val="clear" w:color="auto" w:fill="auto"/>
            <w:vAlign w:val="center"/>
          </w:tcPr>
          <w:p w14:paraId="221AD103" w14:textId="239C45DF" w:rsidR="00BE71AB" w:rsidRPr="00B622EC" w:rsidRDefault="00BE71AB" w:rsidP="00BE71AB">
            <w:pPr>
              <w:tabs>
                <w:tab w:val="left" w:pos="308"/>
              </w:tabs>
              <w:spacing w:after="0" w:line="240" w:lineRule="auto"/>
              <w:ind w:left="24"/>
              <w:rPr>
                <w:rFonts w:ascii="Times New Roman" w:hAnsi="Times New Roman"/>
                <w:color w:val="000000" w:themeColor="text1"/>
                <w:sz w:val="24"/>
                <w:szCs w:val="24"/>
              </w:rPr>
            </w:pPr>
            <w:r w:rsidRPr="00B622EC">
              <w:rPr>
                <w:rFonts w:ascii="Times New Roman" w:hAnsi="Times New Roman"/>
                <w:color w:val="000000" w:themeColor="text1"/>
                <w:sz w:val="24"/>
                <w:szCs w:val="24"/>
              </w:rPr>
              <w:t>Đề nghị rà soát, đối chiếu quy định về thời gian lưu trữ hồ sơ trong quá trình tổ chức lựa chọn nhà đầu tư đảm bảo tương thích quy định tại Điều 10 Nghị định số 63/2014/NĐ-CP ngày 26/6/2014 của Chính phủ quy định chi tiết thi hành một số điều của Luật Đấu thầu về lựa chọn nhà thầu; và các Luật: Lưu trữ, Ngân sách…</w:t>
            </w:r>
          </w:p>
        </w:tc>
        <w:tc>
          <w:tcPr>
            <w:tcW w:w="1336" w:type="pct"/>
            <w:shd w:val="clear" w:color="auto" w:fill="auto"/>
            <w:vAlign w:val="center"/>
          </w:tcPr>
          <w:p w14:paraId="79D127DE" w14:textId="0B965EA6" w:rsidR="00BE71AB" w:rsidRPr="00B622EC" w:rsidRDefault="00BE71AB"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Tiếp thu</w:t>
            </w:r>
          </w:p>
        </w:tc>
      </w:tr>
      <w:tr w:rsidR="00BE71AB" w:rsidRPr="00B622EC" w14:paraId="42558067" w14:textId="77777777" w:rsidTr="009C3E48">
        <w:tc>
          <w:tcPr>
            <w:tcW w:w="460" w:type="pct"/>
            <w:vMerge/>
            <w:shd w:val="clear" w:color="auto" w:fill="auto"/>
            <w:vAlign w:val="center"/>
          </w:tcPr>
          <w:p w14:paraId="6E7E0C17" w14:textId="77777777" w:rsidR="00BE71AB" w:rsidRPr="00B622EC" w:rsidRDefault="00BE71AB"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74A2B4C8" w14:textId="277CCD9A" w:rsidR="00BE71AB" w:rsidRPr="00B622EC" w:rsidRDefault="00BE71AB" w:rsidP="00BE71AB">
            <w:pPr>
              <w:spacing w:after="0" w:line="240" w:lineRule="auto"/>
              <w:jc w:val="center"/>
              <w:rPr>
                <w:rFonts w:ascii="Times New Roman" w:hAnsi="Times New Roman"/>
                <w:b/>
                <w:color w:val="000000" w:themeColor="text1"/>
                <w:sz w:val="24"/>
                <w:szCs w:val="24"/>
              </w:rPr>
            </w:pPr>
            <w:r w:rsidRPr="00B622EC">
              <w:rPr>
                <w:rFonts w:ascii="Times New Roman" w:hAnsi="Times New Roman"/>
                <w:b/>
                <w:color w:val="000000" w:themeColor="text1"/>
                <w:sz w:val="24"/>
                <w:szCs w:val="24"/>
              </w:rPr>
              <w:t>Viện Nghiên cứu quản lý kinh tế TW, Bộ KH&amp;ĐT</w:t>
            </w:r>
          </w:p>
        </w:tc>
        <w:tc>
          <w:tcPr>
            <w:tcW w:w="2362" w:type="pct"/>
            <w:shd w:val="clear" w:color="auto" w:fill="auto"/>
            <w:vAlign w:val="center"/>
          </w:tcPr>
          <w:p w14:paraId="20FE4230" w14:textId="484A6FB0" w:rsidR="00BE71AB" w:rsidRPr="00B622EC" w:rsidRDefault="00BE71AB" w:rsidP="00BE71AB">
            <w:pPr>
              <w:tabs>
                <w:tab w:val="left" w:pos="308"/>
              </w:tabs>
              <w:spacing w:after="0" w:line="240" w:lineRule="auto"/>
              <w:ind w:left="24"/>
              <w:rPr>
                <w:rFonts w:ascii="Times New Roman" w:hAnsi="Times New Roman"/>
                <w:color w:val="000000" w:themeColor="text1"/>
                <w:sz w:val="24"/>
                <w:szCs w:val="24"/>
              </w:rPr>
            </w:pPr>
            <w:r w:rsidRPr="00B622EC">
              <w:rPr>
                <w:rFonts w:ascii="Times New Roman" w:hAnsi="Times New Roman"/>
                <w:color w:val="000000" w:themeColor="text1"/>
                <w:sz w:val="24"/>
                <w:szCs w:val="24"/>
              </w:rPr>
              <w:t>Điểm a, b khoản 1 Điều 5: bổ sung cụm từ “Hồ sơ”</w:t>
            </w:r>
          </w:p>
        </w:tc>
        <w:tc>
          <w:tcPr>
            <w:tcW w:w="1336" w:type="pct"/>
            <w:shd w:val="clear" w:color="auto" w:fill="auto"/>
            <w:vAlign w:val="center"/>
          </w:tcPr>
          <w:p w14:paraId="553DE3B5" w14:textId="021E62AD" w:rsidR="00BE71AB" w:rsidRPr="00B622EC" w:rsidRDefault="00BE71AB"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Tiếp thu</w:t>
            </w:r>
          </w:p>
        </w:tc>
      </w:tr>
      <w:tr w:rsidR="00BE71AB" w:rsidRPr="00B622EC" w14:paraId="50202932" w14:textId="77777777" w:rsidTr="009C3E48">
        <w:tc>
          <w:tcPr>
            <w:tcW w:w="460" w:type="pct"/>
            <w:vMerge/>
            <w:shd w:val="clear" w:color="auto" w:fill="auto"/>
            <w:vAlign w:val="center"/>
          </w:tcPr>
          <w:p w14:paraId="25FE2889" w14:textId="77777777" w:rsidR="00BE71AB" w:rsidRPr="00B622EC" w:rsidRDefault="00BE71AB"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2265E2CB" w14:textId="417A954E" w:rsidR="00BE71AB" w:rsidRPr="00B622EC" w:rsidRDefault="00BE71AB" w:rsidP="00BE71AB">
            <w:pPr>
              <w:spacing w:after="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t>Thanh tra Bộ KH&amp;ĐT</w:t>
            </w:r>
          </w:p>
        </w:tc>
        <w:tc>
          <w:tcPr>
            <w:tcW w:w="2362" w:type="pct"/>
            <w:shd w:val="clear" w:color="auto" w:fill="auto"/>
            <w:vAlign w:val="center"/>
          </w:tcPr>
          <w:p w14:paraId="39BA431D" w14:textId="37794614" w:rsidR="00BE71AB" w:rsidRPr="00B622EC" w:rsidRDefault="00BE71AB" w:rsidP="00BE71AB">
            <w:pPr>
              <w:tabs>
                <w:tab w:val="left" w:pos="308"/>
              </w:tabs>
              <w:spacing w:after="0" w:line="240" w:lineRule="auto"/>
              <w:ind w:left="24"/>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 xml:space="preserve">Điểm a khoản 2 Điều 5 Dự thảo quy định về hồ sơ liên quan đến quá trình LCNĐT được lưu trữ tối thiểu 05 năm sau khi kết thúc hợp đồng dự án PPP. Tuy nhiên, khoản 5 Điều 35 Luật PPP quy định trách nhiệm của bên mời thầu trong quá trình LCNĐT gồm “lưu trữ thông tin liên quan theo quy định của pháp luật về lưu trữ” </w:t>
            </w:r>
            <w:r w:rsidRPr="00B622EC">
              <w:rPr>
                <w:rFonts w:ascii="Times New Roman" w:hAnsi="Times New Roman"/>
                <w:color w:val="000000" w:themeColor="text1"/>
                <w:sz w:val="24"/>
                <w:szCs w:val="24"/>
                <w:lang w:val="en-US"/>
              </w:rPr>
              <w:sym w:font="Wingdings" w:char="F0E0"/>
            </w:r>
            <w:r w:rsidRPr="00B622EC">
              <w:rPr>
                <w:rFonts w:ascii="Times New Roman" w:hAnsi="Times New Roman"/>
                <w:color w:val="000000" w:themeColor="text1"/>
                <w:sz w:val="24"/>
                <w:szCs w:val="24"/>
                <w:lang w:val="en-US"/>
              </w:rPr>
              <w:t xml:space="preserve"> Đề nghị bỏ nội dung lưu trữ về hồ sơ liên quan đến quá trình LCNĐT khỏi Dự thảo do vấn đề nãy đã được Luật PPP dẫn chiếu sang pháp luật về lưu trữ.</w:t>
            </w:r>
          </w:p>
        </w:tc>
        <w:tc>
          <w:tcPr>
            <w:tcW w:w="1336" w:type="pct"/>
            <w:shd w:val="clear" w:color="auto" w:fill="auto"/>
            <w:vAlign w:val="center"/>
          </w:tcPr>
          <w:p w14:paraId="39AD804F" w14:textId="0C37123B" w:rsidR="00BE71AB" w:rsidRPr="00B622EC" w:rsidRDefault="00BE71AB"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Một số nội dung về lưu trữ trong đầu tư theo phương thức PPP chưa được quy định theo pháp luật về lưu trữ</w:t>
            </w:r>
          </w:p>
        </w:tc>
      </w:tr>
      <w:tr w:rsidR="00AC6340" w:rsidRPr="00B622EC" w14:paraId="144B54BC" w14:textId="77777777" w:rsidTr="009C3E48">
        <w:tc>
          <w:tcPr>
            <w:tcW w:w="460" w:type="pct"/>
            <w:vMerge w:val="restart"/>
            <w:shd w:val="clear" w:color="auto" w:fill="auto"/>
            <w:vAlign w:val="center"/>
          </w:tcPr>
          <w:p w14:paraId="6B480A97" w14:textId="77777777" w:rsidR="00AC6340" w:rsidRPr="00B622EC" w:rsidRDefault="00AC6340" w:rsidP="00BE71AB">
            <w:pPr>
              <w:spacing w:after="0" w:line="240" w:lineRule="auto"/>
              <w:jc w:val="center"/>
              <w:rPr>
                <w:rFonts w:ascii="Times New Roman" w:hAnsi="Times New Roman"/>
                <w:b/>
                <w:color w:val="000000" w:themeColor="text1"/>
                <w:sz w:val="24"/>
                <w:szCs w:val="24"/>
              </w:rPr>
            </w:pPr>
            <w:r w:rsidRPr="00B622EC">
              <w:rPr>
                <w:rFonts w:ascii="Times New Roman" w:hAnsi="Times New Roman"/>
                <w:b/>
                <w:color w:val="000000" w:themeColor="text1"/>
                <w:sz w:val="24"/>
                <w:szCs w:val="24"/>
              </w:rPr>
              <w:t>Hội đồng thẩm định dự án PPP</w:t>
            </w:r>
          </w:p>
          <w:p w14:paraId="50605251" w14:textId="04F35344" w:rsidR="00AC6340" w:rsidRPr="00B622EC" w:rsidRDefault="00AC6340" w:rsidP="00BE71AB">
            <w:pPr>
              <w:spacing w:after="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lastRenderedPageBreak/>
              <w:t>(Chương II)</w:t>
            </w:r>
          </w:p>
        </w:tc>
        <w:tc>
          <w:tcPr>
            <w:tcW w:w="842" w:type="pct"/>
            <w:shd w:val="clear" w:color="auto" w:fill="auto"/>
            <w:vAlign w:val="center"/>
          </w:tcPr>
          <w:p w14:paraId="1A42BF40" w14:textId="52FEE3EA" w:rsidR="00AC6340" w:rsidRPr="00B622EC" w:rsidRDefault="00AC6340" w:rsidP="00BE71AB">
            <w:pPr>
              <w:spacing w:after="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lastRenderedPageBreak/>
              <w:t>Bộ Quốc phòng</w:t>
            </w:r>
          </w:p>
        </w:tc>
        <w:tc>
          <w:tcPr>
            <w:tcW w:w="2362" w:type="pct"/>
            <w:shd w:val="clear" w:color="auto" w:fill="auto"/>
            <w:vAlign w:val="center"/>
          </w:tcPr>
          <w:p w14:paraId="6BE7574B" w14:textId="77777777" w:rsidR="00AC6340" w:rsidRPr="00B622EC" w:rsidRDefault="00AC6340"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 xml:space="preserve">Điểm a khoản 1 Điều 7: </w:t>
            </w:r>
          </w:p>
          <w:p w14:paraId="37CE7AFD" w14:textId="77777777" w:rsidR="00AC6340" w:rsidRPr="00B622EC" w:rsidRDefault="00AC6340"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 xml:space="preserve">- Đề nghị bổ sung thành viên là đại diện của Bộ Quốc phòng, để đảm bảo thực thi quy định tại Điều 15 Luật Quốc phòng năm 2018 và Nghị định số </w:t>
            </w:r>
            <w:r w:rsidRPr="00B622EC">
              <w:rPr>
                <w:rFonts w:ascii="Times New Roman" w:hAnsi="Times New Roman"/>
                <w:color w:val="000000" w:themeColor="text1"/>
                <w:sz w:val="24"/>
                <w:szCs w:val="24"/>
                <w:lang w:val="en-US"/>
              </w:rPr>
              <w:lastRenderedPageBreak/>
              <w:t>164/2018/NĐ-CP ngày 21/12/2018 quy định chi tiết về kết hợp quốc phòng với kinh tế - xã hội và kinh tế - xã hội với quốc phòng.</w:t>
            </w:r>
          </w:p>
          <w:p w14:paraId="0E9013D1" w14:textId="77777777" w:rsidR="00AC6340" w:rsidRPr="00B622EC" w:rsidRDefault="00AC6340"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 xml:space="preserve">- Bổ sung cụm từ “các Bộ, ngành khác có liên quan </w:t>
            </w:r>
            <w:r w:rsidRPr="00265013">
              <w:rPr>
                <w:rFonts w:ascii="Times New Roman" w:hAnsi="Times New Roman"/>
                <w:bCs/>
                <w:iCs/>
                <w:color w:val="000000" w:themeColor="text1"/>
                <w:sz w:val="24"/>
                <w:szCs w:val="24"/>
                <w:lang w:val="en-US"/>
              </w:rPr>
              <w:t>(nếu cần thiết</w:t>
            </w:r>
            <w:r w:rsidRPr="00B622EC">
              <w:rPr>
                <w:rFonts w:ascii="Times New Roman" w:hAnsi="Times New Roman"/>
                <w:b/>
                <w:bCs/>
                <w:iCs/>
                <w:color w:val="000000" w:themeColor="text1"/>
                <w:sz w:val="24"/>
                <w:szCs w:val="24"/>
                <w:lang w:val="en-US"/>
              </w:rPr>
              <w:t>)”</w:t>
            </w:r>
            <w:r w:rsidRPr="00B622EC">
              <w:rPr>
                <w:rFonts w:ascii="Times New Roman" w:hAnsi="Times New Roman"/>
                <w:color w:val="000000" w:themeColor="text1"/>
                <w:sz w:val="24"/>
                <w:szCs w:val="24"/>
                <w:lang w:val="en-US"/>
              </w:rPr>
              <w:t>, để chủ động trong quá trình thực hiện, đồng thời phù hợp nội dung tại khoản 1 Điều 9 dự thảo Nghị định.</w:t>
            </w:r>
          </w:p>
          <w:p w14:paraId="29ADF2F7" w14:textId="077CF959" w:rsidR="00AC6340" w:rsidRPr="00B622EC" w:rsidRDefault="00AC6340"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Khoản 4 Điều 7: Đề nghị quy định tỷ lệ thành viên tham dự phiên họp Hội đồng thẩm định được coi là hợp lệ khi có đủ 2/3 số thành viên Hội đồng được mời họp (kể cả người được ủy quyền), thay cho quy định là 50% số thành viên tham dự.</w:t>
            </w:r>
          </w:p>
        </w:tc>
        <w:tc>
          <w:tcPr>
            <w:tcW w:w="1336" w:type="pct"/>
            <w:vMerge w:val="restart"/>
            <w:shd w:val="clear" w:color="auto" w:fill="auto"/>
            <w:vAlign w:val="center"/>
          </w:tcPr>
          <w:p w14:paraId="029C2665" w14:textId="77777777" w:rsidR="00AC6340" w:rsidRDefault="00AC6340" w:rsidP="00BE71AB">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lastRenderedPageBreak/>
              <w:t xml:space="preserve">- </w:t>
            </w:r>
            <w:r w:rsidRPr="00B622EC">
              <w:rPr>
                <w:rFonts w:ascii="Times New Roman" w:hAnsi="Times New Roman"/>
                <w:color w:val="000000" w:themeColor="text1"/>
                <w:sz w:val="24"/>
                <w:szCs w:val="24"/>
              </w:rPr>
              <w:t xml:space="preserve">Việc thành lập Hội đồng thẩm định thường trực sẽ phát sinh thêm các thủ tục kiện toàn thành viên của Hội đồng khi có </w:t>
            </w:r>
            <w:r w:rsidRPr="00B622EC">
              <w:rPr>
                <w:rFonts w:ascii="Times New Roman" w:hAnsi="Times New Roman"/>
                <w:color w:val="000000" w:themeColor="text1"/>
                <w:sz w:val="24"/>
                <w:szCs w:val="24"/>
              </w:rPr>
              <w:lastRenderedPageBreak/>
              <w:t>thay đổi. Vì vậy, Dự thảo Nghị định sẽ không quy định về cơ chế Hội đồng thẩm định thường trực.</w:t>
            </w:r>
          </w:p>
          <w:p w14:paraId="1D6DB187" w14:textId="072EB1A7" w:rsidR="00AC6340" w:rsidRDefault="00AC6340" w:rsidP="00BE71AB">
            <w:pPr>
              <w:spacing w:after="0" w:line="240" w:lineRule="auto"/>
              <w:jc w:val="both"/>
              <w:rPr>
                <w:rFonts w:ascii="Times New Roman" w:hAnsi="Times New Roman"/>
                <w:color w:val="000000" w:themeColor="text1"/>
                <w:sz w:val="24"/>
                <w:szCs w:val="24"/>
              </w:rPr>
            </w:pPr>
            <w:r w:rsidRPr="00AC6340">
              <w:rPr>
                <w:rFonts w:ascii="Times New Roman" w:hAnsi="Times New Roman"/>
                <w:color w:val="000000" w:themeColor="text1"/>
                <w:sz w:val="24"/>
                <w:szCs w:val="24"/>
              </w:rPr>
              <w:t>- Dự thảo quy định theo hướng việc bổ sung các thành viên của HĐTĐ liên ngành do Thủ tướng Chính phủ quyết định theo đề nghị của Bộ Kế hoạch và Đầu tư</w:t>
            </w:r>
          </w:p>
          <w:p w14:paraId="2562177B" w14:textId="230DD263" w:rsidR="00AC6340" w:rsidRDefault="00AC6340" w:rsidP="00BE71AB">
            <w:pPr>
              <w:spacing w:after="0" w:line="240" w:lineRule="auto"/>
              <w:jc w:val="both"/>
              <w:rPr>
                <w:rFonts w:ascii="Times New Roman" w:hAnsi="Times New Roman"/>
                <w:color w:val="000000" w:themeColor="text1"/>
                <w:sz w:val="24"/>
                <w:szCs w:val="24"/>
              </w:rPr>
            </w:pPr>
          </w:p>
          <w:p w14:paraId="644CF2E9" w14:textId="7247BFE2" w:rsidR="00AC6340" w:rsidRDefault="00AC6340" w:rsidP="00BE71AB">
            <w:pPr>
              <w:spacing w:after="0" w:line="240" w:lineRule="auto"/>
              <w:jc w:val="both"/>
              <w:rPr>
                <w:rFonts w:ascii="Times New Roman" w:hAnsi="Times New Roman"/>
                <w:color w:val="000000" w:themeColor="text1"/>
                <w:sz w:val="24"/>
                <w:szCs w:val="24"/>
              </w:rPr>
            </w:pPr>
          </w:p>
          <w:p w14:paraId="4599335E" w14:textId="7BA074D6" w:rsidR="00AC6340" w:rsidRDefault="00AC6340" w:rsidP="00BE71AB">
            <w:pPr>
              <w:spacing w:after="0" w:line="240" w:lineRule="auto"/>
              <w:jc w:val="both"/>
              <w:rPr>
                <w:rFonts w:ascii="Times New Roman" w:hAnsi="Times New Roman"/>
                <w:color w:val="000000" w:themeColor="text1"/>
                <w:sz w:val="24"/>
                <w:szCs w:val="24"/>
              </w:rPr>
            </w:pPr>
          </w:p>
          <w:p w14:paraId="55AF3199" w14:textId="4AA8CA29" w:rsidR="00AC6340" w:rsidRDefault="00AC6340" w:rsidP="00BE71AB">
            <w:pPr>
              <w:spacing w:after="0" w:line="240" w:lineRule="auto"/>
              <w:jc w:val="both"/>
              <w:rPr>
                <w:rFonts w:ascii="Times New Roman" w:hAnsi="Times New Roman"/>
                <w:color w:val="000000" w:themeColor="text1"/>
                <w:sz w:val="24"/>
                <w:szCs w:val="24"/>
              </w:rPr>
            </w:pPr>
          </w:p>
          <w:p w14:paraId="4860762A" w14:textId="5E29C72F" w:rsidR="00AC6340" w:rsidRDefault="00AC6340" w:rsidP="00BE71AB">
            <w:pPr>
              <w:spacing w:after="0" w:line="240" w:lineRule="auto"/>
              <w:jc w:val="both"/>
              <w:rPr>
                <w:rFonts w:ascii="Times New Roman" w:hAnsi="Times New Roman"/>
                <w:color w:val="000000" w:themeColor="text1"/>
                <w:sz w:val="24"/>
                <w:szCs w:val="24"/>
              </w:rPr>
            </w:pPr>
          </w:p>
          <w:p w14:paraId="03CB39BC" w14:textId="3A446F5D" w:rsidR="00AC6340" w:rsidRDefault="00AC6340" w:rsidP="00BE71AB">
            <w:pPr>
              <w:spacing w:after="0" w:line="240" w:lineRule="auto"/>
              <w:jc w:val="both"/>
              <w:rPr>
                <w:rFonts w:ascii="Times New Roman" w:hAnsi="Times New Roman"/>
                <w:color w:val="000000" w:themeColor="text1"/>
                <w:sz w:val="24"/>
                <w:szCs w:val="24"/>
              </w:rPr>
            </w:pPr>
          </w:p>
          <w:p w14:paraId="6E712517" w14:textId="22CCEFF0" w:rsidR="00AC6340" w:rsidRDefault="00AC6340" w:rsidP="00BE71AB">
            <w:pPr>
              <w:spacing w:after="0" w:line="240" w:lineRule="auto"/>
              <w:jc w:val="both"/>
              <w:rPr>
                <w:rFonts w:ascii="Times New Roman" w:hAnsi="Times New Roman"/>
                <w:color w:val="000000" w:themeColor="text1"/>
                <w:sz w:val="24"/>
                <w:szCs w:val="24"/>
              </w:rPr>
            </w:pPr>
          </w:p>
          <w:p w14:paraId="2B1D9651" w14:textId="1167F20E" w:rsidR="00AC6340" w:rsidRDefault="00AC6340" w:rsidP="00BE71AB">
            <w:pPr>
              <w:spacing w:after="0" w:line="240" w:lineRule="auto"/>
              <w:jc w:val="both"/>
              <w:rPr>
                <w:rFonts w:ascii="Times New Roman" w:hAnsi="Times New Roman"/>
                <w:color w:val="000000" w:themeColor="text1"/>
                <w:sz w:val="24"/>
                <w:szCs w:val="24"/>
              </w:rPr>
            </w:pPr>
          </w:p>
          <w:p w14:paraId="5BBDBD61" w14:textId="35F5C6A2" w:rsidR="00AC6340" w:rsidRDefault="00AC6340" w:rsidP="00BE71AB">
            <w:pPr>
              <w:spacing w:after="0" w:line="240" w:lineRule="auto"/>
              <w:jc w:val="both"/>
              <w:rPr>
                <w:rFonts w:ascii="Times New Roman" w:hAnsi="Times New Roman"/>
                <w:color w:val="000000" w:themeColor="text1"/>
                <w:sz w:val="24"/>
                <w:szCs w:val="24"/>
              </w:rPr>
            </w:pPr>
          </w:p>
          <w:p w14:paraId="30D1FAD6" w14:textId="0A749541" w:rsidR="00AC6340" w:rsidRDefault="00AC6340" w:rsidP="00BE71AB">
            <w:pPr>
              <w:spacing w:after="0" w:line="240" w:lineRule="auto"/>
              <w:jc w:val="both"/>
              <w:rPr>
                <w:rFonts w:ascii="Times New Roman" w:hAnsi="Times New Roman"/>
                <w:color w:val="000000" w:themeColor="text1"/>
                <w:sz w:val="24"/>
                <w:szCs w:val="24"/>
              </w:rPr>
            </w:pPr>
          </w:p>
          <w:p w14:paraId="358EA13A" w14:textId="1A0A9DC2" w:rsidR="00AC6340" w:rsidRDefault="00AC6340" w:rsidP="00BE71AB">
            <w:pPr>
              <w:spacing w:after="0" w:line="240" w:lineRule="auto"/>
              <w:jc w:val="both"/>
              <w:rPr>
                <w:rFonts w:ascii="Times New Roman" w:hAnsi="Times New Roman"/>
                <w:color w:val="000000" w:themeColor="text1"/>
                <w:sz w:val="24"/>
                <w:szCs w:val="24"/>
              </w:rPr>
            </w:pPr>
          </w:p>
          <w:p w14:paraId="2452E3B6" w14:textId="4D54CCEE" w:rsidR="00AC6340" w:rsidRDefault="00AC6340" w:rsidP="00BE71AB">
            <w:pPr>
              <w:spacing w:after="0" w:line="240" w:lineRule="auto"/>
              <w:jc w:val="both"/>
              <w:rPr>
                <w:rFonts w:ascii="Times New Roman" w:hAnsi="Times New Roman"/>
                <w:color w:val="000000" w:themeColor="text1"/>
                <w:sz w:val="24"/>
                <w:szCs w:val="24"/>
              </w:rPr>
            </w:pPr>
          </w:p>
          <w:p w14:paraId="494696B5" w14:textId="201B382C" w:rsidR="00AC6340" w:rsidRDefault="00AC6340" w:rsidP="00BE71AB">
            <w:pPr>
              <w:spacing w:after="0" w:line="240" w:lineRule="auto"/>
              <w:jc w:val="both"/>
              <w:rPr>
                <w:rFonts w:ascii="Times New Roman" w:hAnsi="Times New Roman"/>
                <w:color w:val="000000" w:themeColor="text1"/>
                <w:sz w:val="24"/>
                <w:szCs w:val="24"/>
              </w:rPr>
            </w:pPr>
          </w:p>
          <w:p w14:paraId="4F46C361" w14:textId="654A4643" w:rsidR="00AC6340" w:rsidRDefault="00AC6340" w:rsidP="00BE71AB">
            <w:pPr>
              <w:spacing w:after="0" w:line="240" w:lineRule="auto"/>
              <w:jc w:val="both"/>
              <w:rPr>
                <w:rFonts w:ascii="Times New Roman" w:hAnsi="Times New Roman"/>
                <w:color w:val="000000" w:themeColor="text1"/>
                <w:sz w:val="24"/>
                <w:szCs w:val="24"/>
              </w:rPr>
            </w:pPr>
          </w:p>
          <w:p w14:paraId="6D766EB9" w14:textId="000DB883" w:rsidR="00AC6340" w:rsidRDefault="00AC6340" w:rsidP="00BE71AB">
            <w:pPr>
              <w:spacing w:after="0" w:line="240" w:lineRule="auto"/>
              <w:jc w:val="both"/>
              <w:rPr>
                <w:rFonts w:ascii="Times New Roman" w:hAnsi="Times New Roman"/>
                <w:color w:val="000000" w:themeColor="text1"/>
                <w:sz w:val="24"/>
                <w:szCs w:val="24"/>
              </w:rPr>
            </w:pPr>
          </w:p>
          <w:p w14:paraId="296C3070" w14:textId="2B24D990" w:rsidR="00AC6340" w:rsidRDefault="00AC6340" w:rsidP="00BE71AB">
            <w:pPr>
              <w:spacing w:after="0" w:line="240" w:lineRule="auto"/>
              <w:jc w:val="both"/>
              <w:rPr>
                <w:rFonts w:ascii="Times New Roman" w:hAnsi="Times New Roman"/>
                <w:color w:val="000000" w:themeColor="text1"/>
                <w:sz w:val="24"/>
                <w:szCs w:val="24"/>
              </w:rPr>
            </w:pPr>
          </w:p>
          <w:p w14:paraId="3FBB2A33" w14:textId="3AC553E9" w:rsidR="00AC6340" w:rsidRDefault="00AC6340" w:rsidP="00BE71AB">
            <w:pPr>
              <w:spacing w:after="0" w:line="240" w:lineRule="auto"/>
              <w:jc w:val="both"/>
              <w:rPr>
                <w:rFonts w:ascii="Times New Roman" w:hAnsi="Times New Roman"/>
                <w:color w:val="000000" w:themeColor="text1"/>
                <w:sz w:val="24"/>
                <w:szCs w:val="24"/>
              </w:rPr>
            </w:pPr>
          </w:p>
          <w:p w14:paraId="3F30D442" w14:textId="77777777" w:rsidR="00AC6340" w:rsidRPr="00AC6340" w:rsidRDefault="00AC6340" w:rsidP="00BE71AB">
            <w:pPr>
              <w:spacing w:after="0" w:line="240" w:lineRule="auto"/>
              <w:jc w:val="both"/>
              <w:rPr>
                <w:rFonts w:ascii="Times New Roman" w:hAnsi="Times New Roman"/>
                <w:color w:val="000000" w:themeColor="text1"/>
                <w:sz w:val="24"/>
                <w:szCs w:val="24"/>
              </w:rPr>
            </w:pPr>
          </w:p>
          <w:p w14:paraId="114EBA3C" w14:textId="6A4289F7" w:rsidR="00AC6340" w:rsidRPr="00AC6340" w:rsidRDefault="00AC6340" w:rsidP="00BE71AB">
            <w:pPr>
              <w:spacing w:after="0" w:line="240" w:lineRule="auto"/>
              <w:jc w:val="both"/>
              <w:rPr>
                <w:rFonts w:ascii="Times New Roman" w:hAnsi="Times New Roman"/>
                <w:color w:val="000000" w:themeColor="text1"/>
                <w:sz w:val="24"/>
                <w:szCs w:val="24"/>
              </w:rPr>
            </w:pPr>
          </w:p>
        </w:tc>
      </w:tr>
      <w:tr w:rsidR="00AC6340" w:rsidRPr="00B622EC" w14:paraId="6695D778" w14:textId="77777777" w:rsidTr="009C3E48">
        <w:tc>
          <w:tcPr>
            <w:tcW w:w="460" w:type="pct"/>
            <w:vMerge/>
            <w:shd w:val="clear" w:color="auto" w:fill="auto"/>
            <w:vAlign w:val="center"/>
          </w:tcPr>
          <w:p w14:paraId="233005E8" w14:textId="77777777" w:rsidR="00AC6340" w:rsidRPr="00B622EC" w:rsidRDefault="00AC6340"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045F4A1D" w14:textId="0E5CA48A" w:rsidR="00AC6340" w:rsidRPr="00B622EC" w:rsidRDefault="00AC6340" w:rsidP="00BE71AB">
            <w:pPr>
              <w:spacing w:after="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t>Bộ Công Thương</w:t>
            </w:r>
          </w:p>
        </w:tc>
        <w:tc>
          <w:tcPr>
            <w:tcW w:w="2362" w:type="pct"/>
            <w:shd w:val="clear" w:color="auto" w:fill="auto"/>
            <w:vAlign w:val="center"/>
          </w:tcPr>
          <w:p w14:paraId="1320FCCE" w14:textId="77777777" w:rsidR="00AC6340" w:rsidRPr="00B622EC" w:rsidRDefault="00AC6340"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Đề nghị nghiên cứu, bổ sung cơ chế thành lập Hội đồng cứng gồm các Bộ, cơ quan có liên quan; còn thành viên Hội đồng cụ thê là theo từng dự án và theo văn bán đề xuất cử cán bộ của các Bộ tham gia Hội đồng (văn bản cử là thành phần Hồ sơ). Như vậy vừa đảm bảo có cơ cấu Hội đồng cúng, vừa đảm bảo linh hoạt theo phân công của tùng Bộ, ngành.</w:t>
            </w:r>
          </w:p>
          <w:p w14:paraId="56AAE0D3" w14:textId="738F26ED" w:rsidR="00AC6340" w:rsidRPr="00B622EC" w:rsidRDefault="00AC6340"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Đề nghị không quy định nội dung liên quan đến Hội đồng thẩm định liên ngành cấp cơ sở do thuộc phạm vi, chức trách của Bộ trưởng, Thủ trưởng cơ quan ngang Bộ.</w:t>
            </w:r>
          </w:p>
        </w:tc>
        <w:tc>
          <w:tcPr>
            <w:tcW w:w="1336" w:type="pct"/>
            <w:vMerge/>
            <w:shd w:val="clear" w:color="auto" w:fill="auto"/>
            <w:vAlign w:val="center"/>
          </w:tcPr>
          <w:p w14:paraId="747FD185" w14:textId="263013A0" w:rsidR="00AC6340" w:rsidRPr="00B622EC" w:rsidRDefault="00AC6340" w:rsidP="00BE71AB">
            <w:pPr>
              <w:spacing w:after="0" w:line="240" w:lineRule="auto"/>
              <w:jc w:val="both"/>
              <w:rPr>
                <w:rFonts w:ascii="Times New Roman" w:hAnsi="Times New Roman"/>
                <w:color w:val="000000" w:themeColor="text1"/>
                <w:sz w:val="24"/>
                <w:szCs w:val="24"/>
                <w:lang w:val="en-US"/>
              </w:rPr>
            </w:pPr>
          </w:p>
        </w:tc>
      </w:tr>
      <w:tr w:rsidR="00AC6340" w:rsidRPr="00B622EC" w14:paraId="5B9CB9A3" w14:textId="77777777" w:rsidTr="009C3E48">
        <w:tc>
          <w:tcPr>
            <w:tcW w:w="460" w:type="pct"/>
            <w:vMerge/>
            <w:shd w:val="clear" w:color="auto" w:fill="auto"/>
            <w:vAlign w:val="center"/>
          </w:tcPr>
          <w:p w14:paraId="500D5202" w14:textId="77777777" w:rsidR="00AC6340" w:rsidRPr="00B622EC" w:rsidRDefault="00AC6340"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2A0FE5ED" w14:textId="55E3FB0C" w:rsidR="00AC6340" w:rsidRPr="00B622EC" w:rsidRDefault="00AC6340" w:rsidP="00BE71AB">
            <w:pPr>
              <w:spacing w:after="0" w:line="240" w:lineRule="auto"/>
              <w:jc w:val="center"/>
              <w:rPr>
                <w:rFonts w:ascii="Times New Roman" w:hAnsi="Times New Roman"/>
                <w:b/>
                <w:color w:val="000000" w:themeColor="text1"/>
                <w:sz w:val="24"/>
                <w:szCs w:val="24"/>
              </w:rPr>
            </w:pPr>
            <w:r w:rsidRPr="00B622EC">
              <w:rPr>
                <w:rFonts w:ascii="Times New Roman" w:hAnsi="Times New Roman"/>
                <w:b/>
                <w:color w:val="000000" w:themeColor="text1"/>
                <w:sz w:val="24"/>
                <w:szCs w:val="24"/>
              </w:rPr>
              <w:t>Bộ Thông tin và truyền thông, Hà Giang, Công ty CP định giá và dịch vụ tài chính Việt Nam VVFC, Ngân hàng phát triển Việt Nam</w:t>
            </w:r>
          </w:p>
        </w:tc>
        <w:tc>
          <w:tcPr>
            <w:tcW w:w="2362" w:type="pct"/>
            <w:shd w:val="clear" w:color="auto" w:fill="auto"/>
            <w:vAlign w:val="center"/>
          </w:tcPr>
          <w:p w14:paraId="3E38CF31" w14:textId="400F2C80" w:rsidR="00AC6340" w:rsidRPr="00B622EC" w:rsidRDefault="00AC6340" w:rsidP="00BE71AB">
            <w:pPr>
              <w:spacing w:after="0" w:line="240" w:lineRule="auto"/>
              <w:jc w:val="both"/>
              <w:rPr>
                <w:rFonts w:ascii="Times New Roman" w:hAnsi="Times New Roman"/>
                <w:color w:val="000000" w:themeColor="text1"/>
                <w:sz w:val="24"/>
                <w:szCs w:val="24"/>
              </w:rPr>
            </w:pPr>
            <w:r w:rsidRPr="00B622EC">
              <w:rPr>
                <w:rFonts w:ascii="Times New Roman" w:hAnsi="Times New Roman"/>
                <w:color w:val="000000" w:themeColor="text1"/>
                <w:sz w:val="24"/>
                <w:szCs w:val="24"/>
              </w:rPr>
              <w:t>- Cần thiết phải thành lập Hội đồng thẩm định thường trực đối với các dự án phải lập Hội đồng thẩm định liên ngành, Hội đồng thẩm định cấp cơ sở để giảm các thủ tục hành chính, duy trì một bộ khung thống nhất nhằm nâng cao hiệu quả thấm định, tham mưu cho cấp có thẩm quyền xem xét, quyết định.</w:t>
            </w:r>
          </w:p>
          <w:p w14:paraId="3EF48EB6" w14:textId="030434B3" w:rsidR="00AC6340" w:rsidRPr="00B622EC" w:rsidRDefault="00AC6340" w:rsidP="00BE71AB">
            <w:pPr>
              <w:spacing w:after="0" w:line="240" w:lineRule="auto"/>
              <w:jc w:val="both"/>
              <w:rPr>
                <w:rFonts w:ascii="Times New Roman" w:hAnsi="Times New Roman"/>
                <w:color w:val="000000" w:themeColor="text1"/>
                <w:sz w:val="24"/>
                <w:szCs w:val="24"/>
              </w:rPr>
            </w:pPr>
            <w:r w:rsidRPr="00B622EC">
              <w:rPr>
                <w:rFonts w:ascii="Times New Roman" w:hAnsi="Times New Roman"/>
                <w:color w:val="000000" w:themeColor="text1"/>
                <w:sz w:val="24"/>
                <w:szCs w:val="24"/>
              </w:rPr>
              <w:t>- V</w:t>
            </w:r>
            <w:r w:rsidRPr="00B622EC">
              <w:rPr>
                <w:rFonts w:asciiTheme="majorHAnsi" w:hAnsiTheme="majorHAnsi" w:cstheme="majorHAnsi"/>
                <w:color w:val="000000"/>
                <w:sz w:val="24"/>
                <w:szCs w:val="24"/>
                <w:lang w:eastAsia="vi-VN" w:bidi="vi-VN"/>
              </w:rPr>
              <w:t>iệc phân chia trách nhiệm chủ trì thẩm định đối với các thanh viên trong Hội đóng thám đinh theo tùng lĩnh vực cụ thể sẽ dẫn đền chồng chéo khi chủ trì các nội dung, đồng thời chưa đảm bảo tính tổng thể khi xem xét một dự án.</w:t>
            </w:r>
          </w:p>
        </w:tc>
        <w:tc>
          <w:tcPr>
            <w:tcW w:w="1336" w:type="pct"/>
            <w:vMerge/>
            <w:shd w:val="clear" w:color="auto" w:fill="auto"/>
            <w:vAlign w:val="center"/>
          </w:tcPr>
          <w:p w14:paraId="4713BF3F" w14:textId="65C49037" w:rsidR="00AC6340" w:rsidRPr="00B622EC" w:rsidRDefault="00AC6340" w:rsidP="00BE71AB">
            <w:pPr>
              <w:spacing w:after="0" w:line="240" w:lineRule="auto"/>
              <w:jc w:val="both"/>
              <w:rPr>
                <w:rFonts w:ascii="Times New Roman" w:hAnsi="Times New Roman"/>
                <w:b/>
                <w:color w:val="000000" w:themeColor="text1"/>
                <w:sz w:val="24"/>
                <w:szCs w:val="24"/>
              </w:rPr>
            </w:pPr>
          </w:p>
        </w:tc>
      </w:tr>
      <w:tr w:rsidR="00BE71AB" w:rsidRPr="00B622EC" w14:paraId="21EAC097" w14:textId="77777777" w:rsidTr="009C3E48">
        <w:tc>
          <w:tcPr>
            <w:tcW w:w="460" w:type="pct"/>
            <w:vMerge/>
            <w:shd w:val="clear" w:color="auto" w:fill="auto"/>
            <w:vAlign w:val="center"/>
          </w:tcPr>
          <w:p w14:paraId="5CB499D0" w14:textId="77777777" w:rsidR="00BE71AB" w:rsidRPr="00B622EC" w:rsidRDefault="00BE71AB"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177DAF76" w14:textId="2D47459F" w:rsidR="00BE71AB" w:rsidRPr="00B622EC" w:rsidRDefault="00BE71AB" w:rsidP="00BE71AB">
            <w:pPr>
              <w:spacing w:after="0" w:line="240" w:lineRule="auto"/>
              <w:jc w:val="center"/>
              <w:rPr>
                <w:rFonts w:ascii="Times New Roman" w:hAnsi="Times New Roman"/>
                <w:b/>
                <w:color w:val="000000" w:themeColor="text1"/>
                <w:sz w:val="24"/>
                <w:szCs w:val="24"/>
              </w:rPr>
            </w:pPr>
            <w:r w:rsidRPr="00B622EC">
              <w:rPr>
                <w:rFonts w:ascii="Times New Roman" w:hAnsi="Times New Roman"/>
                <w:b/>
                <w:color w:val="000000" w:themeColor="text1"/>
                <w:sz w:val="24"/>
                <w:szCs w:val="24"/>
              </w:rPr>
              <w:t>Ngân hàng TMCP đầu tư và phát triển Việt Nam BIDV</w:t>
            </w:r>
          </w:p>
        </w:tc>
        <w:tc>
          <w:tcPr>
            <w:tcW w:w="2362" w:type="pct"/>
            <w:shd w:val="clear" w:color="auto" w:fill="auto"/>
            <w:vAlign w:val="center"/>
          </w:tcPr>
          <w:p w14:paraId="74C96486" w14:textId="77777777" w:rsidR="00BE71AB" w:rsidRDefault="00BE71AB" w:rsidP="00BE71AB">
            <w:pPr>
              <w:spacing w:after="0" w:line="240" w:lineRule="auto"/>
              <w:jc w:val="both"/>
              <w:rPr>
                <w:rFonts w:asciiTheme="majorHAnsi" w:hAnsiTheme="majorHAnsi" w:cstheme="majorHAnsi"/>
                <w:color w:val="000000"/>
                <w:sz w:val="24"/>
                <w:szCs w:val="24"/>
                <w:lang w:eastAsia="vi-VN" w:bidi="vi-VN"/>
              </w:rPr>
            </w:pPr>
            <w:r w:rsidRPr="00B622EC">
              <w:rPr>
                <w:rFonts w:asciiTheme="majorHAnsi" w:hAnsiTheme="majorHAnsi" w:cstheme="majorHAnsi"/>
                <w:color w:val="000000"/>
                <w:sz w:val="24"/>
                <w:szCs w:val="24"/>
                <w:lang w:eastAsia="vi-VN" w:bidi="vi-VN"/>
              </w:rPr>
              <w:t>Theo quỵ định tại Điều 8 của Dự thào, Chú tịch Hội đồng thẩm định liên ngành có quyền quyết định triệu tập các cuộc họp Hội đồng; chủ trì các phiên họp; phân công trách nhiệm Phó Chu tịch và các thành viên Hội đồng; bổ sung thành viên Hội đong thâm định liên ngành thường trực...</w:t>
            </w:r>
          </w:p>
          <w:p w14:paraId="411D1F63" w14:textId="77777777" w:rsidR="00156706" w:rsidRDefault="00156706" w:rsidP="00BE71AB">
            <w:pPr>
              <w:spacing w:after="0" w:line="240" w:lineRule="auto"/>
              <w:jc w:val="both"/>
              <w:rPr>
                <w:rFonts w:asciiTheme="majorHAnsi" w:hAnsiTheme="majorHAnsi" w:cstheme="majorHAnsi"/>
                <w:color w:val="000000"/>
                <w:sz w:val="24"/>
                <w:szCs w:val="24"/>
                <w:lang w:eastAsia="vi-VN" w:bidi="vi-VN"/>
              </w:rPr>
            </w:pPr>
          </w:p>
          <w:p w14:paraId="4BC0EEC0" w14:textId="208C4AC5" w:rsidR="00156706" w:rsidRPr="00B622EC" w:rsidRDefault="00156706" w:rsidP="00BE71AB">
            <w:pPr>
              <w:spacing w:after="0" w:line="240" w:lineRule="auto"/>
              <w:jc w:val="both"/>
              <w:rPr>
                <w:rFonts w:ascii="Times New Roman" w:hAnsi="Times New Roman"/>
                <w:color w:val="000000" w:themeColor="text1"/>
                <w:sz w:val="24"/>
                <w:szCs w:val="24"/>
              </w:rPr>
            </w:pPr>
          </w:p>
        </w:tc>
        <w:tc>
          <w:tcPr>
            <w:tcW w:w="1336" w:type="pct"/>
            <w:shd w:val="clear" w:color="auto" w:fill="auto"/>
            <w:vAlign w:val="center"/>
          </w:tcPr>
          <w:p w14:paraId="43940E05" w14:textId="300BB74B" w:rsidR="00BE71AB" w:rsidRPr="00B622EC" w:rsidRDefault="00BE71AB" w:rsidP="00BE71AB">
            <w:pPr>
              <w:spacing w:after="0" w:line="240" w:lineRule="auto"/>
              <w:jc w:val="both"/>
              <w:rPr>
                <w:rFonts w:ascii="Times New Roman" w:hAnsi="Times New Roman"/>
                <w:color w:val="000000" w:themeColor="text1"/>
                <w:sz w:val="24"/>
                <w:szCs w:val="24"/>
              </w:rPr>
            </w:pPr>
            <w:r w:rsidRPr="00B622EC">
              <w:rPr>
                <w:rFonts w:ascii="Times New Roman" w:hAnsi="Times New Roman"/>
                <w:color w:val="000000" w:themeColor="text1"/>
                <w:sz w:val="24"/>
                <w:szCs w:val="24"/>
              </w:rPr>
              <w:t xml:space="preserve">Quy định về thành lập, tổ chức hoạt động, trách nhiệm và quyền hạn của HĐTĐ được xây dựng theo hướng thống nhất với quy định về HĐTĐ nhà nước tại Nghị định của Chính phủ hướng dẫn về dự án quan trọng quốc gia </w:t>
            </w:r>
          </w:p>
        </w:tc>
      </w:tr>
      <w:tr w:rsidR="00BE71AB" w:rsidRPr="00B622EC" w14:paraId="007AA165" w14:textId="77777777" w:rsidTr="009C3E48">
        <w:tc>
          <w:tcPr>
            <w:tcW w:w="460" w:type="pct"/>
            <w:vMerge/>
            <w:shd w:val="clear" w:color="auto" w:fill="auto"/>
            <w:vAlign w:val="center"/>
          </w:tcPr>
          <w:p w14:paraId="6823AF3B" w14:textId="77777777" w:rsidR="00BE71AB" w:rsidRPr="00B622EC" w:rsidRDefault="00BE71AB"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3C064A58" w14:textId="6C6807A3" w:rsidR="00BE71AB" w:rsidRPr="00B622EC" w:rsidRDefault="00BE71AB" w:rsidP="00BE71AB">
            <w:pPr>
              <w:spacing w:after="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t>Bình Thuận</w:t>
            </w:r>
          </w:p>
        </w:tc>
        <w:tc>
          <w:tcPr>
            <w:tcW w:w="2362" w:type="pct"/>
            <w:shd w:val="clear" w:color="auto" w:fill="auto"/>
            <w:vAlign w:val="center"/>
          </w:tcPr>
          <w:p w14:paraId="585ED8A0" w14:textId="1CA41D88" w:rsidR="00BE71AB" w:rsidRPr="00B622EC" w:rsidRDefault="00BE71AB"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 xml:space="preserve">Theo nội dung tại điểm d khoản 1 Điều 9 dự thảo Nghị định quy định: “Bộ Xây dựng: chủ trì thẩm định hiệu quả đầu tư của dự án trên cơ sở xem xét tổng mức đầu tư; phương án kỹ thuật, công nghệ; hồ sơ thiết kế sơ bộ theo quy định của pháp luật về xây dựng và nội dung khác theo chỉ đạo của Chủ </w:t>
            </w:r>
            <w:r w:rsidRPr="00B622EC">
              <w:rPr>
                <w:rFonts w:ascii="Times New Roman" w:hAnsi="Times New Roman"/>
                <w:color w:val="000000" w:themeColor="text1"/>
                <w:sz w:val="24"/>
                <w:szCs w:val="24"/>
                <w:lang w:val="en-US"/>
              </w:rPr>
              <w:lastRenderedPageBreak/>
              <w:t>tịch Hội đồng”. Đề nghị nghiên cứu đổi thành Bộ Xây dựng và Bộ quản lý công trình xây dựng chuyên ngành để phù hợp theo quy định của pháp luật về xây dựng</w:t>
            </w:r>
          </w:p>
        </w:tc>
        <w:tc>
          <w:tcPr>
            <w:tcW w:w="1336" w:type="pct"/>
            <w:shd w:val="clear" w:color="auto" w:fill="auto"/>
            <w:vAlign w:val="center"/>
          </w:tcPr>
          <w:p w14:paraId="73B06D19" w14:textId="77777777" w:rsidR="00BE71AB" w:rsidRDefault="00BE71AB"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lastRenderedPageBreak/>
              <w:t>Vai trò thẩm định dự án của đại diện Bộ Xây dựng và vai trò của cơ quan chuyên môn về xây dựng là khác nhau</w:t>
            </w:r>
            <w:r w:rsidR="009B263B">
              <w:rPr>
                <w:rFonts w:ascii="Times New Roman" w:hAnsi="Times New Roman"/>
                <w:color w:val="000000" w:themeColor="text1"/>
                <w:sz w:val="24"/>
                <w:szCs w:val="24"/>
                <w:lang w:val="en-US"/>
              </w:rPr>
              <w:t>.</w:t>
            </w:r>
          </w:p>
          <w:p w14:paraId="767E9B7F" w14:textId="77777777" w:rsidR="009B263B" w:rsidRDefault="009B263B" w:rsidP="00BE71AB">
            <w:pPr>
              <w:spacing w:after="0" w:line="240" w:lineRule="auto"/>
              <w:jc w:val="both"/>
              <w:rPr>
                <w:rFonts w:ascii="Times New Roman" w:hAnsi="Times New Roman"/>
                <w:color w:val="000000" w:themeColor="text1"/>
                <w:sz w:val="24"/>
                <w:szCs w:val="24"/>
                <w:lang w:val="en-US"/>
              </w:rPr>
            </w:pPr>
          </w:p>
          <w:p w14:paraId="0DB2B4D5" w14:textId="77777777" w:rsidR="009B263B" w:rsidRDefault="009B263B" w:rsidP="00BE71AB">
            <w:pPr>
              <w:spacing w:after="0" w:line="240" w:lineRule="auto"/>
              <w:jc w:val="both"/>
              <w:rPr>
                <w:rFonts w:ascii="Times New Roman" w:hAnsi="Times New Roman"/>
                <w:color w:val="000000" w:themeColor="text1"/>
                <w:sz w:val="24"/>
                <w:szCs w:val="24"/>
                <w:lang w:val="en-US"/>
              </w:rPr>
            </w:pPr>
          </w:p>
          <w:p w14:paraId="343D4575" w14:textId="77777777" w:rsidR="009B263B" w:rsidRDefault="009B263B" w:rsidP="00BE71AB">
            <w:pPr>
              <w:spacing w:after="0" w:line="240" w:lineRule="auto"/>
              <w:jc w:val="both"/>
              <w:rPr>
                <w:rFonts w:ascii="Times New Roman" w:hAnsi="Times New Roman"/>
                <w:color w:val="000000" w:themeColor="text1"/>
                <w:sz w:val="24"/>
                <w:szCs w:val="24"/>
                <w:lang w:val="en-US"/>
              </w:rPr>
            </w:pPr>
          </w:p>
          <w:p w14:paraId="49A956FA" w14:textId="139773AC" w:rsidR="009B263B" w:rsidRPr="00B622EC" w:rsidRDefault="009B263B" w:rsidP="00BE71AB">
            <w:pPr>
              <w:spacing w:after="0" w:line="240" w:lineRule="auto"/>
              <w:jc w:val="both"/>
              <w:rPr>
                <w:rFonts w:ascii="Times New Roman" w:hAnsi="Times New Roman"/>
                <w:color w:val="000000" w:themeColor="text1"/>
                <w:sz w:val="24"/>
                <w:szCs w:val="24"/>
                <w:lang w:val="en-US"/>
              </w:rPr>
            </w:pPr>
          </w:p>
        </w:tc>
      </w:tr>
      <w:tr w:rsidR="00BE71AB" w:rsidRPr="00B622EC" w14:paraId="27F39720" w14:textId="77777777" w:rsidTr="009C3E48">
        <w:tc>
          <w:tcPr>
            <w:tcW w:w="460" w:type="pct"/>
            <w:vMerge/>
            <w:shd w:val="clear" w:color="auto" w:fill="auto"/>
            <w:vAlign w:val="center"/>
          </w:tcPr>
          <w:p w14:paraId="7B8E5ABB" w14:textId="77777777" w:rsidR="00BE71AB" w:rsidRPr="00B622EC" w:rsidRDefault="00BE71AB"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1F3BBD3C" w14:textId="293854C4" w:rsidR="00BE71AB" w:rsidRPr="00B622EC" w:rsidRDefault="00BE71AB" w:rsidP="00BE71AB">
            <w:pPr>
              <w:spacing w:after="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t>Hà Nam, Phú Yên</w:t>
            </w:r>
          </w:p>
        </w:tc>
        <w:tc>
          <w:tcPr>
            <w:tcW w:w="2362" w:type="pct"/>
            <w:shd w:val="clear" w:color="auto" w:fill="auto"/>
            <w:vAlign w:val="center"/>
          </w:tcPr>
          <w:p w14:paraId="06DB1B39" w14:textId="77777777" w:rsidR="00BE71AB" w:rsidRPr="00B622EC" w:rsidRDefault="00BE71AB"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 Điều 11 quy định về tổ chức, trách nhiệm, quyền hạn của Hội đồng thẩm định cấp cơ sở đề nghị nghiên cứu quy định cụ thể, tương tự theo các quy định của Hội đồng thẩm định liên ngành.</w:t>
            </w:r>
          </w:p>
          <w:p w14:paraId="51D76B35" w14:textId="48A817C5" w:rsidR="00BE71AB" w:rsidRPr="00B622EC" w:rsidRDefault="00BE71AB"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 Điều 13. Thuê tư vấn thẩm tra dự án: Đề nghị thuê tư vấn trong trường hợp dự án xét thấy cần thiết (căn cứ Khoản 4 Điều 6 Luật quy định “ Hội đồng thẩm định dự án PPP,… được thuê tư vấn hỗ trợ”).</w:t>
            </w:r>
          </w:p>
        </w:tc>
        <w:tc>
          <w:tcPr>
            <w:tcW w:w="1336" w:type="pct"/>
            <w:shd w:val="clear" w:color="auto" w:fill="auto"/>
            <w:vAlign w:val="center"/>
          </w:tcPr>
          <w:p w14:paraId="58A22686" w14:textId="77777777" w:rsidR="00BE71AB" w:rsidRDefault="00BE71AB"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Thành lập, trách nhiệm, quyền hạn của HĐTĐ cấp cơ sở thuộc thẩm quyền của Bộ trưởng, người đứng đầu cơ quan TW, cơ quan khác và HĐND cấp tỉnh</w:t>
            </w:r>
            <w:r w:rsidR="009B263B">
              <w:rPr>
                <w:rFonts w:ascii="Times New Roman" w:hAnsi="Times New Roman"/>
                <w:color w:val="000000" w:themeColor="text1"/>
                <w:sz w:val="24"/>
                <w:szCs w:val="24"/>
                <w:lang w:val="en-US"/>
              </w:rPr>
              <w:t xml:space="preserve">. </w:t>
            </w:r>
          </w:p>
          <w:p w14:paraId="55A99112" w14:textId="77777777" w:rsidR="009B263B" w:rsidRDefault="009B263B" w:rsidP="00BE71AB">
            <w:pPr>
              <w:spacing w:after="0" w:line="240" w:lineRule="auto"/>
              <w:jc w:val="both"/>
              <w:rPr>
                <w:rFonts w:ascii="Times New Roman" w:hAnsi="Times New Roman"/>
                <w:color w:val="000000" w:themeColor="text1"/>
                <w:sz w:val="24"/>
                <w:szCs w:val="24"/>
                <w:lang w:val="en-US"/>
              </w:rPr>
            </w:pPr>
          </w:p>
          <w:p w14:paraId="5038A3E0" w14:textId="7017A1DD" w:rsidR="009B263B" w:rsidRPr="00B622EC" w:rsidRDefault="009B263B" w:rsidP="00BE71AB">
            <w:pPr>
              <w:spacing w:after="0" w:line="240" w:lineRule="auto"/>
              <w:jc w:val="both"/>
              <w:rPr>
                <w:rFonts w:ascii="Times New Roman" w:hAnsi="Times New Roman"/>
                <w:color w:val="000000" w:themeColor="text1"/>
                <w:sz w:val="24"/>
                <w:szCs w:val="24"/>
                <w:lang w:val="en-US"/>
              </w:rPr>
            </w:pPr>
          </w:p>
        </w:tc>
      </w:tr>
      <w:tr w:rsidR="00BE71AB" w:rsidRPr="00B622EC" w14:paraId="1F3BDEB5" w14:textId="77777777" w:rsidTr="009C3E48">
        <w:tc>
          <w:tcPr>
            <w:tcW w:w="460" w:type="pct"/>
            <w:vMerge/>
            <w:shd w:val="clear" w:color="auto" w:fill="auto"/>
            <w:vAlign w:val="center"/>
          </w:tcPr>
          <w:p w14:paraId="681BB49E" w14:textId="77777777" w:rsidR="00BE71AB" w:rsidRPr="00B622EC" w:rsidRDefault="00BE71AB"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09ED03F8" w14:textId="4F82916C" w:rsidR="00BE71AB" w:rsidRPr="00B622EC" w:rsidRDefault="00BE71AB" w:rsidP="00BE71AB">
            <w:pPr>
              <w:spacing w:after="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t>Hòa Bình</w:t>
            </w:r>
          </w:p>
        </w:tc>
        <w:tc>
          <w:tcPr>
            <w:tcW w:w="2362" w:type="pct"/>
            <w:shd w:val="clear" w:color="auto" w:fill="auto"/>
            <w:vAlign w:val="center"/>
          </w:tcPr>
          <w:p w14:paraId="314B4C91" w14:textId="17C6F26C" w:rsidR="00BE71AB" w:rsidRPr="00B622EC" w:rsidRDefault="00BE71AB"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 xml:space="preserve">- Khoản 1 Điều 11 dự thảo quy định: “Hội đồng thẩm định cấp cơ sở do Bộ trưởng, người đứng đầu cơ quan trung ương, cơ quan khác, Ủy ban nhân dân cấp tỉnh quyết định thành lập…”. Tại khoản 2 Điều 11 quy định: </w:t>
            </w:r>
            <w:r w:rsidRPr="00B622EC">
              <w:rPr>
                <w:rFonts w:ascii="Times New Roman" w:hAnsi="Times New Roman"/>
                <w:iCs/>
                <w:color w:val="000000" w:themeColor="text1"/>
                <w:sz w:val="24"/>
                <w:szCs w:val="24"/>
                <w:lang w:val="en-US"/>
              </w:rPr>
              <w:t xml:space="preserve">“…Trách nhiệm, quyền hạn của Chủ tịch Hội đồng và các thành viên khác của Hội đồng </w:t>
            </w:r>
            <w:r w:rsidRPr="00265013">
              <w:rPr>
                <w:rFonts w:ascii="Times New Roman" w:hAnsi="Times New Roman"/>
                <w:bCs/>
                <w:iCs/>
                <w:color w:val="000000" w:themeColor="text1"/>
                <w:sz w:val="24"/>
                <w:szCs w:val="24"/>
                <w:lang w:val="en-US"/>
              </w:rPr>
              <w:t>do Ủy ban nhân dân cấp tỉnh xem xét, quyết định…”</w:t>
            </w:r>
            <w:r w:rsidRPr="00B622EC">
              <w:rPr>
                <w:rFonts w:ascii="Times New Roman" w:hAnsi="Times New Roman"/>
                <w:iCs/>
                <w:color w:val="000000" w:themeColor="text1"/>
                <w:sz w:val="24"/>
                <w:szCs w:val="24"/>
                <w:lang w:val="en-US"/>
              </w:rPr>
              <w:t xml:space="preserve"> </w:t>
            </w:r>
            <w:r w:rsidRPr="00B622EC">
              <w:rPr>
                <w:rFonts w:ascii="Times New Roman" w:hAnsi="Times New Roman"/>
                <w:color w:val="000000" w:themeColor="text1"/>
                <w:sz w:val="24"/>
                <w:szCs w:val="24"/>
                <w:lang w:val="en-US"/>
              </w:rPr>
              <w:t>là chưa đầy đủ.</w:t>
            </w:r>
          </w:p>
          <w:p w14:paraId="64BDEA27" w14:textId="2C444BA6" w:rsidR="00BE71AB" w:rsidRPr="00B622EC" w:rsidRDefault="00BE71AB"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 xml:space="preserve">- Đề nghị cơ quan soạn thảo bổ sung khoản 2 Điều 11 như sau: </w:t>
            </w:r>
            <w:r w:rsidRPr="00B622EC">
              <w:rPr>
                <w:rFonts w:ascii="Times New Roman" w:hAnsi="Times New Roman"/>
                <w:iCs/>
                <w:color w:val="000000" w:themeColor="text1"/>
                <w:sz w:val="24"/>
                <w:szCs w:val="24"/>
                <w:lang w:val="en-US"/>
              </w:rPr>
              <w:t xml:space="preserve">“…Trách nhiệm, quyền hạn của Chủ tịch Hội đồng và các thành viên khác của Hội đồng </w:t>
            </w:r>
            <w:r w:rsidRPr="00265013">
              <w:rPr>
                <w:rFonts w:ascii="Times New Roman" w:hAnsi="Times New Roman"/>
                <w:bCs/>
                <w:iCs/>
                <w:color w:val="000000" w:themeColor="text1"/>
                <w:sz w:val="24"/>
                <w:szCs w:val="24"/>
                <w:lang w:val="en-US"/>
              </w:rPr>
              <w:t>do Bộ trưởng, người đứng đầu cơ quan trung ương, cơ quan khác, Ủy ban nhân dân cấp tỉnh xem xét, quyết định…”.</w:t>
            </w:r>
          </w:p>
        </w:tc>
        <w:tc>
          <w:tcPr>
            <w:tcW w:w="1336" w:type="pct"/>
            <w:shd w:val="clear" w:color="auto" w:fill="auto"/>
            <w:vAlign w:val="center"/>
          </w:tcPr>
          <w:p w14:paraId="64CCC8AF" w14:textId="34D73776" w:rsidR="00BE71AB" w:rsidRPr="00B622EC" w:rsidRDefault="00BE71AB"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Tiếp thu</w:t>
            </w:r>
          </w:p>
        </w:tc>
      </w:tr>
      <w:tr w:rsidR="00BE71AB" w:rsidRPr="00B622EC" w14:paraId="2FD6C41B" w14:textId="77777777" w:rsidTr="009C3E48">
        <w:tc>
          <w:tcPr>
            <w:tcW w:w="460" w:type="pct"/>
            <w:vMerge/>
            <w:shd w:val="clear" w:color="auto" w:fill="auto"/>
            <w:vAlign w:val="center"/>
          </w:tcPr>
          <w:p w14:paraId="0EEA2198" w14:textId="77777777" w:rsidR="00BE71AB" w:rsidRPr="00B622EC" w:rsidRDefault="00BE71AB"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47177872" w14:textId="72E806E2" w:rsidR="00BE71AB" w:rsidRPr="00B622EC" w:rsidRDefault="00BE71AB" w:rsidP="00BE71AB">
            <w:pPr>
              <w:spacing w:after="0" w:line="240" w:lineRule="auto"/>
              <w:jc w:val="center"/>
              <w:rPr>
                <w:rFonts w:ascii="Times New Roman" w:hAnsi="Times New Roman"/>
                <w:b/>
                <w:color w:val="000000" w:themeColor="text1"/>
                <w:sz w:val="24"/>
                <w:szCs w:val="24"/>
              </w:rPr>
            </w:pPr>
            <w:r w:rsidRPr="00B622EC">
              <w:rPr>
                <w:rFonts w:ascii="Times New Roman" w:hAnsi="Times New Roman"/>
                <w:b/>
                <w:color w:val="000000" w:themeColor="text1"/>
                <w:sz w:val="24"/>
                <w:szCs w:val="24"/>
              </w:rPr>
              <w:t>Viện Chiến lược phát triển, Bộ KH&amp;ĐT</w:t>
            </w:r>
          </w:p>
        </w:tc>
        <w:tc>
          <w:tcPr>
            <w:tcW w:w="2362" w:type="pct"/>
            <w:shd w:val="clear" w:color="auto" w:fill="auto"/>
            <w:vAlign w:val="center"/>
          </w:tcPr>
          <w:p w14:paraId="6A74780A" w14:textId="4E150CA2" w:rsidR="00BE71AB" w:rsidRPr="00B622EC" w:rsidRDefault="00BE71AB" w:rsidP="00BE71AB">
            <w:pPr>
              <w:spacing w:after="0" w:line="240" w:lineRule="auto"/>
              <w:jc w:val="both"/>
              <w:rPr>
                <w:rFonts w:ascii="Times New Roman" w:hAnsi="Times New Roman"/>
                <w:color w:val="000000" w:themeColor="text1"/>
                <w:sz w:val="24"/>
                <w:szCs w:val="24"/>
              </w:rPr>
            </w:pPr>
            <w:r w:rsidRPr="00B622EC">
              <w:rPr>
                <w:rFonts w:ascii="Times New Roman" w:hAnsi="Times New Roman"/>
                <w:color w:val="000000" w:themeColor="text1"/>
                <w:sz w:val="24"/>
                <w:szCs w:val="24"/>
              </w:rPr>
              <w:t>Cơ bản nhất trí với nội dung của Dự thảo. Đề nghị cân nhắc bổ sung thêm thành viên từ khu vực tư nhân, các tổ chức chính trị xã hội để đảm bảo tính minh bạch và trách nhiệm giải trình.</w:t>
            </w:r>
          </w:p>
        </w:tc>
        <w:tc>
          <w:tcPr>
            <w:tcW w:w="1336" w:type="pct"/>
            <w:shd w:val="clear" w:color="auto" w:fill="auto"/>
            <w:vAlign w:val="center"/>
          </w:tcPr>
          <w:p w14:paraId="112E148B" w14:textId="793D1CAE" w:rsidR="00BE71AB" w:rsidRPr="00B622EC" w:rsidRDefault="00BE71AB"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Không tiếp thu</w:t>
            </w:r>
          </w:p>
        </w:tc>
      </w:tr>
      <w:tr w:rsidR="00BE71AB" w:rsidRPr="00B622EC" w14:paraId="4F2E3EE1" w14:textId="77777777" w:rsidTr="009C3E48">
        <w:tc>
          <w:tcPr>
            <w:tcW w:w="460" w:type="pct"/>
            <w:vMerge/>
            <w:shd w:val="clear" w:color="auto" w:fill="auto"/>
            <w:vAlign w:val="center"/>
          </w:tcPr>
          <w:p w14:paraId="3A40D15D" w14:textId="77777777" w:rsidR="00BE71AB" w:rsidRPr="00B622EC" w:rsidRDefault="00BE71AB"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63AC9FC5" w14:textId="19EB83DC" w:rsidR="00BE71AB" w:rsidRPr="00B622EC" w:rsidRDefault="00BE71AB" w:rsidP="00BE71AB">
            <w:pPr>
              <w:spacing w:after="0" w:line="240" w:lineRule="auto"/>
              <w:jc w:val="center"/>
              <w:rPr>
                <w:rFonts w:ascii="Times New Roman" w:hAnsi="Times New Roman"/>
                <w:b/>
                <w:color w:val="000000" w:themeColor="text1"/>
                <w:sz w:val="24"/>
                <w:szCs w:val="24"/>
              </w:rPr>
            </w:pPr>
            <w:r w:rsidRPr="00B622EC">
              <w:rPr>
                <w:rFonts w:ascii="Times New Roman" w:hAnsi="Times New Roman"/>
                <w:b/>
                <w:color w:val="000000" w:themeColor="text1"/>
                <w:sz w:val="24"/>
                <w:szCs w:val="24"/>
              </w:rPr>
              <w:t>Vụ Tài chính tiền tệ, Thanh tra Bộ - Bộ KH&amp;ĐT</w:t>
            </w:r>
          </w:p>
        </w:tc>
        <w:tc>
          <w:tcPr>
            <w:tcW w:w="2362" w:type="pct"/>
            <w:shd w:val="clear" w:color="auto" w:fill="auto"/>
            <w:vAlign w:val="center"/>
          </w:tcPr>
          <w:p w14:paraId="707A313D" w14:textId="5CC4B843" w:rsidR="00BE71AB" w:rsidRPr="00B622EC" w:rsidRDefault="00BE71AB" w:rsidP="00BE71AB">
            <w:pPr>
              <w:spacing w:after="0" w:line="240" w:lineRule="auto"/>
              <w:jc w:val="both"/>
              <w:rPr>
                <w:rFonts w:ascii="Times New Roman" w:hAnsi="Times New Roman"/>
                <w:color w:val="000000" w:themeColor="text1"/>
                <w:sz w:val="24"/>
                <w:szCs w:val="24"/>
              </w:rPr>
            </w:pPr>
            <w:r w:rsidRPr="00B622EC">
              <w:rPr>
                <w:rFonts w:ascii="Times New Roman" w:hAnsi="Times New Roman"/>
                <w:color w:val="000000" w:themeColor="text1"/>
                <w:sz w:val="24"/>
                <w:szCs w:val="24"/>
              </w:rPr>
              <w:t>Đề nghị cân nhắc không xây dựng quy định đối với việc thành lập Hội đồng thẩm định liên ngành thường trực do hình thức Hội đồng này chưa được quy định tại Điều 6 Luật PPP.</w:t>
            </w:r>
          </w:p>
        </w:tc>
        <w:tc>
          <w:tcPr>
            <w:tcW w:w="1336" w:type="pct"/>
            <w:shd w:val="clear" w:color="auto" w:fill="auto"/>
            <w:vAlign w:val="center"/>
          </w:tcPr>
          <w:p w14:paraId="1ABFE7D9" w14:textId="2A6CA49E" w:rsidR="00BE71AB" w:rsidRPr="00B622EC" w:rsidRDefault="00BE71AB"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Tiếp thu</w:t>
            </w:r>
          </w:p>
        </w:tc>
      </w:tr>
      <w:tr w:rsidR="00BE71AB" w:rsidRPr="00B622EC" w14:paraId="690313A3" w14:textId="77777777" w:rsidTr="009C3E48">
        <w:tc>
          <w:tcPr>
            <w:tcW w:w="460" w:type="pct"/>
            <w:vMerge/>
            <w:shd w:val="clear" w:color="auto" w:fill="auto"/>
            <w:vAlign w:val="center"/>
          </w:tcPr>
          <w:p w14:paraId="3D6B881C" w14:textId="77777777" w:rsidR="00BE71AB" w:rsidRPr="00B622EC" w:rsidRDefault="00BE71AB"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61517E59" w14:textId="48910D35" w:rsidR="00BE71AB" w:rsidRPr="00B622EC" w:rsidRDefault="00BE71AB" w:rsidP="00BE71AB">
            <w:pPr>
              <w:spacing w:after="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t>Thanh tra Bộ KH&amp;ĐT</w:t>
            </w:r>
          </w:p>
        </w:tc>
        <w:tc>
          <w:tcPr>
            <w:tcW w:w="2362" w:type="pct"/>
            <w:shd w:val="clear" w:color="auto" w:fill="auto"/>
            <w:vAlign w:val="center"/>
          </w:tcPr>
          <w:p w14:paraId="3862B895" w14:textId="0749B694" w:rsidR="00BE71AB" w:rsidRPr="00B622EC" w:rsidRDefault="00BE71AB"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 Đề nghị bỏ nội dung về ý kiến kết luận trong các phiên họp, Dự thảo chỉ cần quy định nguyên tắc thông qua đối với kết luận cuối cùng hoặc báo cáo thẩm định, đồng thời cân nhắc tỷ lệ thông qua là 2/3 hoặc 3/4.</w:t>
            </w:r>
          </w:p>
          <w:p w14:paraId="1B1979C6" w14:textId="712BFB76" w:rsidR="00BE71AB" w:rsidRPr="00B622EC" w:rsidRDefault="00BE71AB"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 Đề nghị bỏ nội dung “trừ trường hợp thực hiện nhiệm vụ bổ sung theo chỉ đạo của Thủ tướng Chính phủ” tại khoản 5 Điều 7 Dự thảo do không cần thiết. Việc quy định hội đồng tự giải thể sau khi hoàn thành nhiệm vụ đã đầy đủ ý nghĩa.</w:t>
            </w:r>
          </w:p>
          <w:p w14:paraId="6D60A828" w14:textId="4822CC6B" w:rsidR="00BE71AB" w:rsidRPr="00B622EC" w:rsidRDefault="00BE71AB"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 Đề nghị cân nhắc bỏ việc liệt kê chi tiết các nội dung chủ trì thẩm định, chỉ quy định các thành viên Hội đồng thẩm định có trách nhiệm thẩm định, có ý kiến về các nội dung thuộc chức năng, nhiệm vụ của Bộ, ngành, địa phương và nội dung khác theo chỉ đạo của Chủ tịch Hội đồng.</w:t>
            </w:r>
          </w:p>
          <w:p w14:paraId="0E6916EB" w14:textId="70F7BA33" w:rsidR="00BE71AB" w:rsidRPr="00B622EC" w:rsidRDefault="00BE71AB"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lastRenderedPageBreak/>
              <w:t>- Đề nghị sửa đổi điểm e khoản 2 Điều 10 Dự thảo thành “Dự thảo báo cáo thẩm định của Hội đồng thẩm định để trình Chủ tịch Hội đồng xem xét, phê duyệt trình Chính phủ”.</w:t>
            </w:r>
          </w:p>
        </w:tc>
        <w:tc>
          <w:tcPr>
            <w:tcW w:w="1336" w:type="pct"/>
            <w:shd w:val="clear" w:color="auto" w:fill="auto"/>
            <w:vAlign w:val="center"/>
          </w:tcPr>
          <w:p w14:paraId="2EAACD79" w14:textId="77777777" w:rsidR="00BE71AB" w:rsidRPr="00B622EC" w:rsidRDefault="00BE71AB" w:rsidP="00BE71AB">
            <w:pPr>
              <w:spacing w:after="0" w:line="240" w:lineRule="auto"/>
              <w:jc w:val="both"/>
              <w:rPr>
                <w:rFonts w:ascii="Times New Roman" w:hAnsi="Times New Roman"/>
                <w:color w:val="000000" w:themeColor="text1"/>
                <w:sz w:val="24"/>
                <w:szCs w:val="24"/>
              </w:rPr>
            </w:pPr>
            <w:r w:rsidRPr="00B622EC">
              <w:rPr>
                <w:rFonts w:ascii="Times New Roman" w:hAnsi="Times New Roman"/>
                <w:color w:val="000000" w:themeColor="text1"/>
                <w:sz w:val="24"/>
                <w:szCs w:val="24"/>
                <w:lang w:val="en-US"/>
              </w:rPr>
              <w:lastRenderedPageBreak/>
              <w:t xml:space="preserve">- </w:t>
            </w:r>
            <w:r w:rsidRPr="00B622EC">
              <w:rPr>
                <w:rFonts w:ascii="Times New Roman" w:hAnsi="Times New Roman"/>
                <w:color w:val="000000" w:themeColor="text1"/>
                <w:sz w:val="24"/>
                <w:szCs w:val="24"/>
              </w:rPr>
              <w:t>Quy định về thành lập, tổ chức hoạt động, trách nhiệm và quyền hạn của HĐTĐ được xây dựng theo hướng thống nhất với quy định về HĐTĐ nhà nước tại Nghị định của Chính phủ hướng dẫn về dự án quan trọng quốc gia</w:t>
            </w:r>
          </w:p>
          <w:p w14:paraId="0A9D9053" w14:textId="3362D428" w:rsidR="00BE71AB" w:rsidRPr="00B622EC" w:rsidRDefault="00BE71AB"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 Tiếp thu</w:t>
            </w:r>
          </w:p>
          <w:p w14:paraId="0E0BCFE4" w14:textId="30385A93" w:rsidR="00BE71AB" w:rsidRDefault="00BE71AB" w:rsidP="00BE71AB">
            <w:pPr>
              <w:spacing w:after="0" w:line="240" w:lineRule="auto"/>
              <w:jc w:val="both"/>
              <w:rPr>
                <w:rFonts w:ascii="Times New Roman" w:hAnsi="Times New Roman"/>
                <w:color w:val="000000" w:themeColor="text1"/>
                <w:sz w:val="24"/>
                <w:szCs w:val="24"/>
              </w:rPr>
            </w:pPr>
          </w:p>
          <w:p w14:paraId="7CF78A52" w14:textId="77777777" w:rsidR="00E37605" w:rsidRPr="00B622EC" w:rsidRDefault="00E37605" w:rsidP="00BE71AB">
            <w:pPr>
              <w:spacing w:after="0" w:line="240" w:lineRule="auto"/>
              <w:jc w:val="both"/>
              <w:rPr>
                <w:rFonts w:ascii="Times New Roman" w:hAnsi="Times New Roman"/>
                <w:color w:val="000000" w:themeColor="text1"/>
                <w:sz w:val="24"/>
                <w:szCs w:val="24"/>
              </w:rPr>
            </w:pPr>
          </w:p>
          <w:p w14:paraId="09E2E956" w14:textId="77777777" w:rsidR="00BE71AB" w:rsidRPr="00B622EC" w:rsidRDefault="00BE71AB" w:rsidP="00BE71AB">
            <w:pPr>
              <w:spacing w:after="0" w:line="240" w:lineRule="auto"/>
              <w:jc w:val="both"/>
              <w:rPr>
                <w:rFonts w:ascii="Times New Roman" w:hAnsi="Times New Roman"/>
                <w:color w:val="000000" w:themeColor="text1"/>
                <w:sz w:val="24"/>
                <w:szCs w:val="24"/>
              </w:rPr>
            </w:pPr>
          </w:p>
          <w:p w14:paraId="4CE7CA25" w14:textId="77777777" w:rsidR="00BE71AB" w:rsidRPr="00B622EC" w:rsidRDefault="00BE71AB" w:rsidP="00BE71AB">
            <w:pPr>
              <w:spacing w:after="0" w:line="240" w:lineRule="auto"/>
              <w:jc w:val="both"/>
              <w:rPr>
                <w:rFonts w:ascii="Times New Roman" w:hAnsi="Times New Roman"/>
                <w:color w:val="000000" w:themeColor="text1"/>
                <w:sz w:val="24"/>
                <w:szCs w:val="24"/>
              </w:rPr>
            </w:pPr>
          </w:p>
          <w:p w14:paraId="58C11BF5" w14:textId="77777777" w:rsidR="00BE71AB" w:rsidRPr="00B622EC" w:rsidRDefault="00BE71AB" w:rsidP="00BE71AB">
            <w:pPr>
              <w:spacing w:after="0" w:line="240" w:lineRule="auto"/>
              <w:jc w:val="both"/>
              <w:rPr>
                <w:rFonts w:ascii="Times New Roman" w:hAnsi="Times New Roman"/>
                <w:color w:val="000000" w:themeColor="text1"/>
                <w:sz w:val="24"/>
                <w:szCs w:val="24"/>
              </w:rPr>
            </w:pPr>
          </w:p>
          <w:p w14:paraId="758C118C" w14:textId="11D8AECB" w:rsidR="00BE71AB" w:rsidRPr="00B622EC" w:rsidRDefault="00BE71AB" w:rsidP="00BE71AB">
            <w:pPr>
              <w:spacing w:after="0" w:line="240" w:lineRule="auto"/>
              <w:jc w:val="both"/>
              <w:rPr>
                <w:rFonts w:ascii="Times New Roman" w:hAnsi="Times New Roman"/>
                <w:color w:val="000000" w:themeColor="text1"/>
                <w:sz w:val="24"/>
                <w:szCs w:val="24"/>
              </w:rPr>
            </w:pPr>
          </w:p>
          <w:p w14:paraId="70A0EF23" w14:textId="214BD737" w:rsidR="00BE71AB" w:rsidRPr="00B622EC" w:rsidRDefault="00BE71AB" w:rsidP="00BE71AB">
            <w:pPr>
              <w:spacing w:after="0" w:line="240" w:lineRule="auto"/>
              <w:jc w:val="both"/>
              <w:rPr>
                <w:rFonts w:ascii="Times New Roman" w:hAnsi="Times New Roman"/>
                <w:color w:val="000000" w:themeColor="text1"/>
                <w:sz w:val="24"/>
                <w:szCs w:val="24"/>
                <w:lang w:val="en-US"/>
              </w:rPr>
            </w:pPr>
          </w:p>
        </w:tc>
      </w:tr>
      <w:tr w:rsidR="00BE71AB" w:rsidRPr="00B622EC" w14:paraId="3C28CD4E" w14:textId="77777777" w:rsidTr="009C3E48">
        <w:trPr>
          <w:trHeight w:val="1317"/>
        </w:trPr>
        <w:tc>
          <w:tcPr>
            <w:tcW w:w="460" w:type="pct"/>
            <w:vMerge w:val="restart"/>
            <w:shd w:val="clear" w:color="auto" w:fill="auto"/>
            <w:vAlign w:val="center"/>
          </w:tcPr>
          <w:p w14:paraId="78FE78E7" w14:textId="009CD0F1" w:rsidR="00BE71AB" w:rsidRPr="00B622EC" w:rsidRDefault="00BE71AB" w:rsidP="00BE71AB">
            <w:pPr>
              <w:spacing w:after="0" w:line="240" w:lineRule="auto"/>
              <w:jc w:val="center"/>
              <w:rPr>
                <w:rFonts w:ascii="Times New Roman" w:hAnsi="Times New Roman"/>
                <w:b/>
                <w:color w:val="000000" w:themeColor="text1"/>
                <w:sz w:val="24"/>
                <w:szCs w:val="24"/>
              </w:rPr>
            </w:pPr>
            <w:r w:rsidRPr="00B622EC">
              <w:rPr>
                <w:rFonts w:ascii="Times New Roman" w:hAnsi="Times New Roman"/>
                <w:b/>
                <w:color w:val="000000" w:themeColor="text1"/>
                <w:sz w:val="24"/>
                <w:szCs w:val="24"/>
              </w:rPr>
              <w:lastRenderedPageBreak/>
              <w:t>Các nội dung về chuẩn bị dự án (Chương III)</w:t>
            </w:r>
          </w:p>
        </w:tc>
        <w:tc>
          <w:tcPr>
            <w:tcW w:w="842" w:type="pct"/>
            <w:shd w:val="clear" w:color="auto" w:fill="auto"/>
            <w:vAlign w:val="center"/>
          </w:tcPr>
          <w:p w14:paraId="55713C0A" w14:textId="0C65D76B" w:rsidR="00BE71AB" w:rsidRPr="00B622EC" w:rsidRDefault="00BE71AB" w:rsidP="00BE71AB">
            <w:pPr>
              <w:spacing w:after="0" w:line="240" w:lineRule="auto"/>
              <w:jc w:val="center"/>
              <w:rPr>
                <w:rFonts w:ascii="Times New Roman" w:hAnsi="Times New Roman"/>
                <w:b/>
                <w:color w:val="000000" w:themeColor="text1"/>
                <w:sz w:val="24"/>
                <w:szCs w:val="24"/>
              </w:rPr>
            </w:pPr>
            <w:r w:rsidRPr="00B622EC">
              <w:rPr>
                <w:rFonts w:ascii="Times New Roman" w:hAnsi="Times New Roman"/>
                <w:b/>
                <w:color w:val="000000" w:themeColor="text1"/>
                <w:sz w:val="24"/>
                <w:szCs w:val="24"/>
              </w:rPr>
              <w:t>Bộ Giáo dục và Đào tạo</w:t>
            </w:r>
          </w:p>
        </w:tc>
        <w:tc>
          <w:tcPr>
            <w:tcW w:w="2362" w:type="pct"/>
            <w:shd w:val="clear" w:color="auto" w:fill="auto"/>
            <w:vAlign w:val="center"/>
          </w:tcPr>
          <w:p w14:paraId="048E5B52" w14:textId="6E63B110" w:rsidR="00BE71AB" w:rsidRPr="00B622EC" w:rsidRDefault="00BE71AB" w:rsidP="00BE71AB">
            <w:pPr>
              <w:spacing w:after="0" w:line="240" w:lineRule="auto"/>
              <w:jc w:val="both"/>
              <w:rPr>
                <w:rFonts w:ascii="Times New Roman" w:hAnsi="Times New Roman"/>
                <w:color w:val="000000" w:themeColor="text1"/>
                <w:sz w:val="24"/>
                <w:szCs w:val="24"/>
              </w:rPr>
            </w:pPr>
            <w:r w:rsidRPr="00B622EC">
              <w:rPr>
                <w:rFonts w:ascii="Times New Roman" w:hAnsi="Times New Roman"/>
                <w:iCs/>
                <w:color w:val="000000" w:themeColor="text1"/>
                <w:sz w:val="24"/>
                <w:szCs w:val="24"/>
              </w:rPr>
              <w:t>Khoản 1 Điều 20 về thẩm quyền thẩm định nguồn vốn và khả năng cân đối vốn đối với dự án PPP sử dụng vốn đầu tư công</w:t>
            </w:r>
            <w:r w:rsidRPr="00B622EC">
              <w:rPr>
                <w:rFonts w:ascii="Times New Roman" w:hAnsi="Times New Roman"/>
                <w:color w:val="000000" w:themeColor="text1"/>
                <w:sz w:val="24"/>
                <w:szCs w:val="24"/>
              </w:rPr>
              <w:t>: Đề nghị quy định phân cấp theo quy định tại Luật Đầu tư công số 39 và Nghị định số 40/2020/NĐ-CP của Chính phủ (không quy định cứng là Bộ Kế hoạch và Đầu tư, Bộ Tài chính)</w:t>
            </w:r>
          </w:p>
        </w:tc>
        <w:tc>
          <w:tcPr>
            <w:tcW w:w="1336" w:type="pct"/>
            <w:shd w:val="clear" w:color="auto" w:fill="auto"/>
            <w:vAlign w:val="center"/>
          </w:tcPr>
          <w:p w14:paraId="64521627" w14:textId="47381C21" w:rsidR="00BE71AB" w:rsidRPr="00B622EC" w:rsidRDefault="00BE71AB"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Tiếp thu</w:t>
            </w:r>
          </w:p>
        </w:tc>
      </w:tr>
      <w:tr w:rsidR="00BE71AB" w:rsidRPr="00B622EC" w14:paraId="39FC94DD" w14:textId="77777777" w:rsidTr="009C3E48">
        <w:tc>
          <w:tcPr>
            <w:tcW w:w="460" w:type="pct"/>
            <w:vMerge/>
            <w:shd w:val="clear" w:color="auto" w:fill="auto"/>
            <w:vAlign w:val="center"/>
          </w:tcPr>
          <w:p w14:paraId="196556AF" w14:textId="77777777" w:rsidR="00BE71AB" w:rsidRPr="00B622EC" w:rsidRDefault="00BE71AB"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5FBB4666" w14:textId="560C73CE" w:rsidR="00BE71AB" w:rsidRPr="00B622EC" w:rsidRDefault="00BE71AB" w:rsidP="00BE71AB">
            <w:pPr>
              <w:spacing w:after="0" w:line="240" w:lineRule="auto"/>
              <w:jc w:val="center"/>
              <w:rPr>
                <w:rFonts w:ascii="Times New Roman" w:hAnsi="Times New Roman"/>
                <w:b/>
                <w:color w:val="000000" w:themeColor="text1"/>
                <w:sz w:val="24"/>
                <w:szCs w:val="24"/>
              </w:rPr>
            </w:pPr>
            <w:r w:rsidRPr="00B622EC">
              <w:rPr>
                <w:rFonts w:ascii="Times New Roman" w:hAnsi="Times New Roman"/>
                <w:b/>
                <w:color w:val="000000" w:themeColor="text1"/>
                <w:sz w:val="24"/>
                <w:szCs w:val="24"/>
              </w:rPr>
              <w:t>Ngân hàng TMCP đầu tư và phát triển Việt Nam BIDV</w:t>
            </w:r>
          </w:p>
        </w:tc>
        <w:tc>
          <w:tcPr>
            <w:tcW w:w="2362" w:type="pct"/>
            <w:shd w:val="clear" w:color="auto" w:fill="auto"/>
            <w:vAlign w:val="center"/>
          </w:tcPr>
          <w:p w14:paraId="2E889431" w14:textId="72AB9814" w:rsidR="00BE71AB" w:rsidRPr="00B622EC" w:rsidRDefault="00BE71AB" w:rsidP="00BE71AB">
            <w:pPr>
              <w:tabs>
                <w:tab w:val="left" w:pos="308"/>
              </w:tabs>
              <w:spacing w:after="0" w:line="240" w:lineRule="auto"/>
              <w:jc w:val="both"/>
              <w:rPr>
                <w:rFonts w:asciiTheme="majorHAnsi" w:hAnsiTheme="majorHAnsi" w:cstheme="majorHAnsi"/>
                <w:iCs/>
                <w:color w:val="000000"/>
                <w:sz w:val="24"/>
                <w:szCs w:val="24"/>
                <w:lang w:val="en-US" w:eastAsia="vi-VN" w:bidi="vi-VN"/>
              </w:rPr>
            </w:pPr>
            <w:r w:rsidRPr="00B622EC">
              <w:rPr>
                <w:rFonts w:asciiTheme="majorHAnsi" w:hAnsiTheme="majorHAnsi" w:cstheme="majorHAnsi"/>
                <w:color w:val="000000"/>
                <w:sz w:val="24"/>
                <w:szCs w:val="24"/>
                <w:lang w:eastAsia="vi-VN" w:bidi="vi-VN"/>
              </w:rPr>
              <w:t xml:space="preserve">Theo quy định tại khoản 1 Điều 15, khoản 1 Điều 23 của Dự thảo: "...Cấp </w:t>
            </w:r>
            <w:r w:rsidRPr="00B622EC">
              <w:rPr>
                <w:rFonts w:asciiTheme="majorHAnsi" w:hAnsiTheme="majorHAnsi" w:cstheme="majorHAnsi"/>
                <w:iCs/>
                <w:color w:val="000000"/>
                <w:sz w:val="24"/>
                <w:szCs w:val="24"/>
                <w:lang w:eastAsia="vi-VN" w:bidi="vi-VN"/>
              </w:rPr>
              <w:t xml:space="preserve">có thẩm quyền phê duyệt quyết định chủ trương đầu tư theo Hướng dẫn sổ 03 Phu lục Nghị định này”, "...cấp có thẩm quyền phê duyệt dự án theo Hướng dẫn số 03 Phu lục III Nghi định này”. </w:t>
            </w:r>
            <w:r w:rsidRPr="00B622EC">
              <w:rPr>
                <w:rFonts w:asciiTheme="majorHAnsi" w:hAnsiTheme="majorHAnsi" w:cstheme="majorHAnsi"/>
                <w:iCs/>
                <w:color w:val="000000"/>
                <w:sz w:val="24"/>
                <w:szCs w:val="24"/>
                <w:lang w:val="en-US" w:eastAsia="vi-VN" w:bidi="vi-VN"/>
              </w:rPr>
              <w:t>Rà soát cách diễn đạt</w:t>
            </w:r>
          </w:p>
        </w:tc>
        <w:tc>
          <w:tcPr>
            <w:tcW w:w="1336" w:type="pct"/>
            <w:shd w:val="clear" w:color="auto" w:fill="auto"/>
            <w:vAlign w:val="center"/>
          </w:tcPr>
          <w:p w14:paraId="48A9ED2C" w14:textId="1A671E7E" w:rsidR="00BE71AB" w:rsidRPr="00B622EC" w:rsidRDefault="00BE71AB"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Tiếp thu</w:t>
            </w:r>
          </w:p>
        </w:tc>
      </w:tr>
      <w:tr w:rsidR="00BE71AB" w:rsidRPr="00B622EC" w14:paraId="4E3DE6D5" w14:textId="77777777" w:rsidTr="009C3E48">
        <w:tc>
          <w:tcPr>
            <w:tcW w:w="460" w:type="pct"/>
            <w:vMerge/>
            <w:shd w:val="clear" w:color="auto" w:fill="auto"/>
            <w:vAlign w:val="center"/>
          </w:tcPr>
          <w:p w14:paraId="6513757D" w14:textId="77777777" w:rsidR="00BE71AB" w:rsidRPr="00B622EC" w:rsidRDefault="00BE71AB"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368F2097" w14:textId="65AB8801" w:rsidR="00BE71AB" w:rsidRPr="00B622EC" w:rsidRDefault="00BE71AB" w:rsidP="00BE71AB">
            <w:pPr>
              <w:spacing w:after="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t>Bình Thuận</w:t>
            </w:r>
          </w:p>
        </w:tc>
        <w:tc>
          <w:tcPr>
            <w:tcW w:w="2362" w:type="pct"/>
            <w:shd w:val="clear" w:color="auto" w:fill="auto"/>
            <w:vAlign w:val="center"/>
          </w:tcPr>
          <w:p w14:paraId="2BE21514" w14:textId="4F7A1DDC" w:rsidR="00BE71AB" w:rsidRPr="00B622EC" w:rsidRDefault="00BE71AB" w:rsidP="00BE71AB">
            <w:pPr>
              <w:tabs>
                <w:tab w:val="left" w:pos="308"/>
              </w:tabs>
              <w:spacing w:after="0" w:line="240" w:lineRule="auto"/>
              <w:ind w:left="24"/>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Theo nội dung tại điểm c khoản 1 Điều 18 dự thảo Nghị định quy định thời gian thẩm định: “Dự án thuộc thẩm quyền quyết định chủ trương của Bộ trưởng, người đứng đầu cơ quan trung ương, cơ quan khác, Hội đồng nhân dân cấp tỉnh: không quá 30 ngày”. Với thời gian 30 ngày thì đối với dự án phức tạp, dự án công nghệ cao sẽ không đảm bảo về thời gian. Do vậy, đề nghị nghiên cứu phân theo nhóm dự án để đảm bảo về thời gian thực hiện việc thẩm định các dự án theo hình thức PPP.</w:t>
            </w:r>
          </w:p>
        </w:tc>
        <w:tc>
          <w:tcPr>
            <w:tcW w:w="1336" w:type="pct"/>
            <w:shd w:val="clear" w:color="auto" w:fill="auto"/>
            <w:vAlign w:val="center"/>
          </w:tcPr>
          <w:p w14:paraId="75479D4E" w14:textId="77777777" w:rsidR="00BE71AB" w:rsidRPr="00B622EC" w:rsidRDefault="00BE71AB"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Thời gian thẩm định chủ trương đầu tư dự án PPP đã được tham khảo theo quy định của pháp luật về đầu tư công trên cơ sở xem xét các yếu tố phức tạp của dự án PPP</w:t>
            </w:r>
          </w:p>
          <w:p w14:paraId="386BD801" w14:textId="77777777" w:rsidR="00BE71AB" w:rsidRPr="00B622EC" w:rsidRDefault="00BE71AB" w:rsidP="00BE71AB">
            <w:pPr>
              <w:spacing w:after="0" w:line="240" w:lineRule="auto"/>
              <w:jc w:val="both"/>
              <w:rPr>
                <w:rFonts w:ascii="Times New Roman" w:hAnsi="Times New Roman"/>
                <w:color w:val="000000" w:themeColor="text1"/>
                <w:sz w:val="24"/>
                <w:szCs w:val="24"/>
                <w:lang w:val="en-US"/>
              </w:rPr>
            </w:pPr>
          </w:p>
          <w:p w14:paraId="1B4F5A0A" w14:textId="6730063A" w:rsidR="00BE71AB" w:rsidRPr="00B622EC" w:rsidRDefault="00BE71AB" w:rsidP="00BE71AB">
            <w:pPr>
              <w:spacing w:after="0" w:line="240" w:lineRule="auto"/>
              <w:jc w:val="both"/>
              <w:rPr>
                <w:rFonts w:ascii="Times New Roman" w:hAnsi="Times New Roman"/>
                <w:color w:val="000000" w:themeColor="text1"/>
                <w:sz w:val="24"/>
                <w:szCs w:val="24"/>
              </w:rPr>
            </w:pPr>
          </w:p>
        </w:tc>
      </w:tr>
      <w:tr w:rsidR="00BE71AB" w:rsidRPr="00B622EC" w14:paraId="742FBB36" w14:textId="77777777" w:rsidTr="009C3E48">
        <w:tc>
          <w:tcPr>
            <w:tcW w:w="460" w:type="pct"/>
            <w:vMerge/>
            <w:shd w:val="clear" w:color="auto" w:fill="auto"/>
            <w:vAlign w:val="center"/>
          </w:tcPr>
          <w:p w14:paraId="6AAD0064" w14:textId="77777777" w:rsidR="00BE71AB" w:rsidRPr="00B622EC" w:rsidRDefault="00BE71AB"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09F4EB27" w14:textId="67B1F98E" w:rsidR="00BE71AB" w:rsidRPr="00B622EC" w:rsidRDefault="00BE71AB" w:rsidP="00BE71AB">
            <w:pPr>
              <w:spacing w:after="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t>Hà Nam</w:t>
            </w:r>
          </w:p>
        </w:tc>
        <w:tc>
          <w:tcPr>
            <w:tcW w:w="2362" w:type="pct"/>
            <w:shd w:val="clear" w:color="auto" w:fill="auto"/>
            <w:vAlign w:val="center"/>
          </w:tcPr>
          <w:p w14:paraId="32D6C80F" w14:textId="0E7AFDA1" w:rsidR="00BE71AB" w:rsidRPr="00B622EC" w:rsidRDefault="00BE71AB" w:rsidP="00BE71AB">
            <w:pPr>
              <w:tabs>
                <w:tab w:val="left" w:pos="308"/>
              </w:tabs>
              <w:spacing w:after="0" w:line="240" w:lineRule="auto"/>
              <w:ind w:left="24"/>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 Đề nghị bổ sung quy định trách nhiệm hướng dẫn của cơ quan Tài chính, các cơ quan liên quan đối với việc xác định, thanh toán, quyết toán các chi phí chuẩn bị dự án (thuê tư vấn thẩm tra, chi phí thẩm định của Hội đồng thẩm;</w:t>
            </w:r>
            <w:r>
              <w:rPr>
                <w:rFonts w:ascii="Times New Roman" w:hAnsi="Times New Roman"/>
                <w:color w:val="000000" w:themeColor="text1"/>
                <w:sz w:val="24"/>
                <w:szCs w:val="24"/>
                <w:lang w:val="en-US"/>
              </w:rPr>
              <w:t xml:space="preserve"> </w:t>
            </w:r>
            <w:r w:rsidRPr="00B622EC">
              <w:rPr>
                <w:rFonts w:ascii="Times New Roman" w:hAnsi="Times New Roman"/>
                <w:color w:val="000000" w:themeColor="text1"/>
                <w:sz w:val="24"/>
                <w:szCs w:val="24"/>
                <w:lang w:val="en-US"/>
              </w:rPr>
              <w:t xml:space="preserve">các chi phí thi tuyển phương án kiến trúc; công tác lập kế hoạch vốn trong kế hoạch đầu tư công, quy trình và đơn vị thực hiện. </w:t>
            </w:r>
          </w:p>
          <w:p w14:paraId="5EF743B0" w14:textId="77777777" w:rsidR="00BE71AB" w:rsidRPr="00B622EC" w:rsidRDefault="00BE71AB" w:rsidP="00BE71AB">
            <w:pPr>
              <w:tabs>
                <w:tab w:val="left" w:pos="308"/>
              </w:tabs>
              <w:spacing w:after="0" w:line="240" w:lineRule="auto"/>
              <w:ind w:left="24"/>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 Điều 21 đề nghị nghiên cứu, bổ sung quy định cụ thể, rõ hơn về hồ sơ thẩm định nguồn vốn và khả năng cân đối nguồn vốn bao gồm đối với các dự án sử dụng vốn cân đối ngân sách địa phương (kể cả dự án có sử dụng nguồn vốn cân đối ngân sách cấp huyện) thuộc thẩm quyền quyết định chủ trương đầu tư của HĐND tỉnh. Đồng thời bổ sung quy định về trình tự thẩm định nguồn vốn và khả năng cân đối nguồn vốn đối với quá trình thẩm định, phê duyệt chủ trương đầu tư dự án có sử dụng vốn đầu tư công (thẩm định nguồn vốn và khả năng cân đối vốn trước, đồng thời hay sau khi Hội đồng thẩm định chủ trương đầu tư dự án báo cáo thẩm định) khi dự án do Hội đồng thẩm định, nguồn vốn do cơ quan kế hoạch thẩm định và theo hướng dẫn số 2 Phụ lục II không có nội dung thẩm định về nguồn vốn này.</w:t>
            </w:r>
          </w:p>
          <w:p w14:paraId="13EDDD16" w14:textId="2A4DC0FF" w:rsidR="00BE71AB" w:rsidRPr="00B622EC" w:rsidRDefault="00BE71AB" w:rsidP="00BE71AB">
            <w:pPr>
              <w:tabs>
                <w:tab w:val="left" w:pos="308"/>
              </w:tabs>
              <w:spacing w:after="0" w:line="240" w:lineRule="auto"/>
              <w:ind w:left="24"/>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lastRenderedPageBreak/>
              <w:t xml:space="preserve"> - Điều 24 đề nghị bổ sung dẫn chiếu quy định về định mức, công tác lập báo cáo nghiên cứu khả thi dự án do nhà đầu tư đề xuất. </w:t>
            </w:r>
          </w:p>
        </w:tc>
        <w:tc>
          <w:tcPr>
            <w:tcW w:w="1336" w:type="pct"/>
            <w:shd w:val="clear" w:color="auto" w:fill="auto"/>
            <w:vAlign w:val="center"/>
          </w:tcPr>
          <w:p w14:paraId="17BDF664" w14:textId="77777777" w:rsidR="00BE71AB" w:rsidRPr="00B622EC" w:rsidRDefault="00BE71AB"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lastRenderedPageBreak/>
              <w:t>- Các nội dung liên quan đến cơ chế tài chính dự án PPP thực hiện theo hướng dẫn của Bộ Tài chính</w:t>
            </w:r>
          </w:p>
          <w:p w14:paraId="533B1B7F" w14:textId="0743ECF3" w:rsidR="00BE71AB" w:rsidRPr="00B622EC" w:rsidRDefault="00BE71AB"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 Tiếp thu. Các nội dung liên quan đến thẩm định nguồn vốn và khả năng cân đối vốn đối với dự án có sử dụng vốn đầu tư công tuân thủ quy định của pháp luật về đầu tư công</w:t>
            </w:r>
          </w:p>
          <w:p w14:paraId="5EF962CD" w14:textId="77777777" w:rsidR="00BE71AB" w:rsidRPr="00B622EC" w:rsidRDefault="00BE71AB" w:rsidP="00BE71AB">
            <w:pPr>
              <w:spacing w:after="0" w:line="240" w:lineRule="auto"/>
              <w:jc w:val="both"/>
              <w:rPr>
                <w:rFonts w:ascii="Times New Roman" w:hAnsi="Times New Roman"/>
                <w:color w:val="000000" w:themeColor="text1"/>
                <w:sz w:val="24"/>
                <w:szCs w:val="24"/>
                <w:lang w:val="en-US"/>
              </w:rPr>
            </w:pPr>
          </w:p>
          <w:p w14:paraId="50DF00E7" w14:textId="77777777" w:rsidR="00BE71AB" w:rsidRPr="00B622EC" w:rsidRDefault="00BE71AB" w:rsidP="00BE71AB">
            <w:pPr>
              <w:spacing w:after="0" w:line="240" w:lineRule="auto"/>
              <w:jc w:val="both"/>
              <w:rPr>
                <w:rFonts w:ascii="Times New Roman" w:hAnsi="Times New Roman"/>
                <w:color w:val="000000" w:themeColor="text1"/>
                <w:sz w:val="24"/>
                <w:szCs w:val="24"/>
                <w:lang w:val="en-US"/>
              </w:rPr>
            </w:pPr>
          </w:p>
          <w:p w14:paraId="2BBC203B" w14:textId="77777777" w:rsidR="00BE71AB" w:rsidRPr="00B622EC" w:rsidRDefault="00BE71AB" w:rsidP="00BE71AB">
            <w:pPr>
              <w:spacing w:after="0" w:line="240" w:lineRule="auto"/>
              <w:jc w:val="both"/>
              <w:rPr>
                <w:rFonts w:ascii="Times New Roman" w:hAnsi="Times New Roman"/>
                <w:color w:val="000000" w:themeColor="text1"/>
                <w:sz w:val="24"/>
                <w:szCs w:val="24"/>
                <w:lang w:val="en-US"/>
              </w:rPr>
            </w:pPr>
          </w:p>
          <w:p w14:paraId="17C26DD1" w14:textId="77777777" w:rsidR="00BE71AB" w:rsidRPr="00B622EC" w:rsidRDefault="00BE71AB" w:rsidP="00BE71AB">
            <w:pPr>
              <w:spacing w:after="0" w:line="240" w:lineRule="auto"/>
              <w:jc w:val="both"/>
              <w:rPr>
                <w:rFonts w:ascii="Times New Roman" w:hAnsi="Times New Roman"/>
                <w:color w:val="000000" w:themeColor="text1"/>
                <w:sz w:val="24"/>
                <w:szCs w:val="24"/>
                <w:lang w:val="en-US"/>
              </w:rPr>
            </w:pPr>
          </w:p>
          <w:p w14:paraId="74C13077" w14:textId="77777777" w:rsidR="00BE71AB" w:rsidRPr="00B622EC" w:rsidRDefault="00BE71AB" w:rsidP="00BE71AB">
            <w:pPr>
              <w:spacing w:after="0" w:line="240" w:lineRule="auto"/>
              <w:jc w:val="both"/>
              <w:rPr>
                <w:rFonts w:ascii="Times New Roman" w:hAnsi="Times New Roman"/>
                <w:color w:val="000000" w:themeColor="text1"/>
                <w:sz w:val="24"/>
                <w:szCs w:val="24"/>
                <w:lang w:val="en-US"/>
              </w:rPr>
            </w:pPr>
          </w:p>
          <w:p w14:paraId="74DDAD97" w14:textId="77777777" w:rsidR="00BE71AB" w:rsidRPr="00B622EC" w:rsidRDefault="00BE71AB" w:rsidP="00BE71AB">
            <w:pPr>
              <w:spacing w:after="0" w:line="240" w:lineRule="auto"/>
              <w:jc w:val="both"/>
              <w:rPr>
                <w:rFonts w:ascii="Times New Roman" w:hAnsi="Times New Roman"/>
                <w:color w:val="000000" w:themeColor="text1"/>
                <w:sz w:val="24"/>
                <w:szCs w:val="24"/>
                <w:lang w:val="en-US"/>
              </w:rPr>
            </w:pPr>
          </w:p>
          <w:p w14:paraId="7BB24694" w14:textId="77777777" w:rsidR="00BE71AB" w:rsidRPr="00B622EC" w:rsidRDefault="00BE71AB" w:rsidP="00BE71AB">
            <w:pPr>
              <w:spacing w:after="0" w:line="240" w:lineRule="auto"/>
              <w:jc w:val="both"/>
              <w:rPr>
                <w:rFonts w:ascii="Times New Roman" w:hAnsi="Times New Roman"/>
                <w:color w:val="000000" w:themeColor="text1"/>
                <w:sz w:val="24"/>
                <w:szCs w:val="24"/>
                <w:lang w:val="en-US"/>
              </w:rPr>
            </w:pPr>
          </w:p>
          <w:p w14:paraId="439475BD" w14:textId="77777777" w:rsidR="00BE71AB" w:rsidRPr="00B622EC" w:rsidRDefault="00BE71AB" w:rsidP="00BE71AB">
            <w:pPr>
              <w:spacing w:after="0" w:line="240" w:lineRule="auto"/>
              <w:jc w:val="both"/>
              <w:rPr>
                <w:rFonts w:ascii="Times New Roman" w:hAnsi="Times New Roman"/>
                <w:color w:val="000000" w:themeColor="text1"/>
                <w:sz w:val="24"/>
                <w:szCs w:val="24"/>
                <w:lang w:val="en-US"/>
              </w:rPr>
            </w:pPr>
          </w:p>
          <w:p w14:paraId="780BC2A4" w14:textId="77777777" w:rsidR="00BE71AB" w:rsidRPr="00B622EC" w:rsidRDefault="00BE71AB" w:rsidP="00BE71AB">
            <w:pPr>
              <w:spacing w:after="0" w:line="240" w:lineRule="auto"/>
              <w:jc w:val="both"/>
              <w:rPr>
                <w:rFonts w:ascii="Times New Roman" w:hAnsi="Times New Roman"/>
                <w:color w:val="000000" w:themeColor="text1"/>
                <w:sz w:val="24"/>
                <w:szCs w:val="24"/>
                <w:lang w:val="en-US"/>
              </w:rPr>
            </w:pPr>
          </w:p>
          <w:p w14:paraId="27474506" w14:textId="10D5E054" w:rsidR="00BE71AB" w:rsidRPr="00B622EC" w:rsidRDefault="00BE71AB" w:rsidP="00BE71AB">
            <w:pPr>
              <w:spacing w:after="0" w:line="240" w:lineRule="auto"/>
              <w:jc w:val="both"/>
              <w:rPr>
                <w:rFonts w:ascii="Times New Roman" w:hAnsi="Times New Roman"/>
                <w:color w:val="000000" w:themeColor="text1"/>
                <w:sz w:val="24"/>
                <w:szCs w:val="24"/>
                <w:lang w:val="en-US"/>
              </w:rPr>
            </w:pPr>
          </w:p>
        </w:tc>
      </w:tr>
      <w:tr w:rsidR="00BE71AB" w:rsidRPr="00B622EC" w14:paraId="3E24DE6E" w14:textId="77777777" w:rsidTr="009C3E48">
        <w:tc>
          <w:tcPr>
            <w:tcW w:w="460" w:type="pct"/>
            <w:vMerge/>
            <w:shd w:val="clear" w:color="auto" w:fill="auto"/>
            <w:vAlign w:val="center"/>
          </w:tcPr>
          <w:p w14:paraId="461C4009" w14:textId="77777777" w:rsidR="00BE71AB" w:rsidRPr="00B622EC" w:rsidRDefault="00BE71AB"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44D18025" w14:textId="69B08272" w:rsidR="00BE71AB" w:rsidRPr="00B622EC" w:rsidRDefault="00BE71AB" w:rsidP="00BE71AB">
            <w:pPr>
              <w:spacing w:after="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t>Thanh tra Bộ KH&amp;ĐT</w:t>
            </w:r>
          </w:p>
        </w:tc>
        <w:tc>
          <w:tcPr>
            <w:tcW w:w="2362" w:type="pct"/>
            <w:shd w:val="clear" w:color="auto" w:fill="auto"/>
            <w:vAlign w:val="center"/>
          </w:tcPr>
          <w:p w14:paraId="1CFB2A39" w14:textId="77777777" w:rsidR="00BE71AB" w:rsidRPr="00B622EC" w:rsidRDefault="00BE71AB" w:rsidP="00BE71AB">
            <w:pPr>
              <w:tabs>
                <w:tab w:val="left" w:pos="308"/>
              </w:tabs>
              <w:spacing w:after="0" w:line="240" w:lineRule="auto"/>
              <w:ind w:left="24"/>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 Khoản 1 Điều 20 Dự thảo quy định “Bộ Kế hoạch và Đầu tư chủ trì, phối hợp với Bộ Tài chính thẩm định nguồn vốn và khả năng cân đối vốn đối với dự án PPP sử dụng vốn ngân sách trung ương, vốn công trái quốc gia, vốn trái phiếu Chính phủ, vốn ODA và vốn vay ưu đãi của các nhà tài trợ nước ngoài”</w:t>
            </w:r>
          </w:p>
          <w:p w14:paraId="6A8F8E31" w14:textId="77777777" w:rsidR="00BE71AB" w:rsidRPr="00B622EC" w:rsidRDefault="00BE71AB" w:rsidP="00BE71AB">
            <w:pPr>
              <w:tabs>
                <w:tab w:val="left" w:pos="308"/>
              </w:tabs>
              <w:spacing w:after="0" w:line="240" w:lineRule="auto"/>
              <w:ind w:left="24"/>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Khoản 2 Điều 20 Dự thảo quy định “Sở Kế hoạch và Đầu tư chủ trì, phối hợp với Sở Tài chính thẩm định nguồn vốn và khả năng cân đối vốn đối với dự án PPP sử dụng vốn ngân sách địa phương”</w:t>
            </w:r>
          </w:p>
          <w:p w14:paraId="342DF458" w14:textId="38EC3012" w:rsidR="00BE71AB" w:rsidRPr="00B622EC" w:rsidRDefault="00BE71AB" w:rsidP="00BE71AB">
            <w:pPr>
              <w:tabs>
                <w:tab w:val="left" w:pos="308"/>
              </w:tabs>
              <w:spacing w:after="0" w:line="240" w:lineRule="auto"/>
              <w:ind w:left="24"/>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Tuy nhiên, quy định như trên là chưa phù hợp với các quy định của Luật Đầu tư công năm 2019. Đề nghị sửa đổi, phân tách lại Điều 20 đảm bảo phù hợp với Luật Đầu tư công năm 2019 hoặc có thể cân nhắc chỉ quy định dẫn chiếu sang pháp luật về đầu tư công để đảm bảo phù hợp (Luật Đầu tư theo phương thức đối tác công tư hiện đang cơ bản dẫn chiếu sang pháp luật về đầu tư công trong trường hợp sử dụng vốn đầu tư công).</w:t>
            </w:r>
          </w:p>
        </w:tc>
        <w:tc>
          <w:tcPr>
            <w:tcW w:w="1336" w:type="pct"/>
            <w:shd w:val="clear" w:color="auto" w:fill="auto"/>
            <w:vAlign w:val="center"/>
          </w:tcPr>
          <w:p w14:paraId="479634E9" w14:textId="77777777" w:rsidR="00BE71AB" w:rsidRPr="00B622EC" w:rsidRDefault="00BE71AB" w:rsidP="00BE71AB">
            <w:pPr>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Tiếp thu. Các nội dung liên quan đến thẩm định nguồn vốn và khả năng cân đối vốn đối với dự án có sử dụng vốn đầu tư công tuân thủ quy định của pháp luật về đầu tư công</w:t>
            </w:r>
          </w:p>
          <w:p w14:paraId="6BD3DEE6" w14:textId="77777777" w:rsidR="00BE71AB" w:rsidRPr="00B622EC" w:rsidRDefault="00BE71AB" w:rsidP="00BE71AB">
            <w:pPr>
              <w:spacing w:after="0" w:line="240" w:lineRule="auto"/>
              <w:jc w:val="both"/>
              <w:rPr>
                <w:rFonts w:ascii="Times New Roman" w:hAnsi="Times New Roman"/>
                <w:color w:val="000000" w:themeColor="text1"/>
                <w:sz w:val="24"/>
                <w:szCs w:val="24"/>
                <w:lang w:val="en-US"/>
              </w:rPr>
            </w:pPr>
          </w:p>
          <w:p w14:paraId="27234364" w14:textId="77777777" w:rsidR="00BE71AB" w:rsidRPr="00B622EC" w:rsidRDefault="00BE71AB" w:rsidP="00BE71AB">
            <w:pPr>
              <w:spacing w:after="0" w:line="240" w:lineRule="auto"/>
              <w:jc w:val="both"/>
              <w:rPr>
                <w:rFonts w:ascii="Times New Roman" w:hAnsi="Times New Roman"/>
                <w:color w:val="000000" w:themeColor="text1"/>
                <w:sz w:val="24"/>
                <w:szCs w:val="24"/>
                <w:lang w:val="en-US"/>
              </w:rPr>
            </w:pPr>
          </w:p>
          <w:p w14:paraId="358BC9F3" w14:textId="77777777" w:rsidR="00BE71AB" w:rsidRPr="00B622EC" w:rsidRDefault="00BE71AB" w:rsidP="00BE71AB">
            <w:pPr>
              <w:spacing w:after="0" w:line="240" w:lineRule="auto"/>
              <w:jc w:val="both"/>
              <w:rPr>
                <w:rFonts w:ascii="Times New Roman" w:hAnsi="Times New Roman"/>
                <w:color w:val="000000" w:themeColor="text1"/>
                <w:sz w:val="24"/>
                <w:szCs w:val="24"/>
                <w:lang w:val="en-US"/>
              </w:rPr>
            </w:pPr>
          </w:p>
          <w:p w14:paraId="2141E544" w14:textId="77777777" w:rsidR="00BE71AB" w:rsidRPr="00B622EC" w:rsidRDefault="00BE71AB" w:rsidP="00BE71AB">
            <w:pPr>
              <w:spacing w:after="0" w:line="240" w:lineRule="auto"/>
              <w:jc w:val="both"/>
              <w:rPr>
                <w:rFonts w:ascii="Times New Roman" w:hAnsi="Times New Roman"/>
                <w:color w:val="000000" w:themeColor="text1"/>
                <w:sz w:val="24"/>
                <w:szCs w:val="24"/>
                <w:lang w:val="en-US"/>
              </w:rPr>
            </w:pPr>
          </w:p>
          <w:p w14:paraId="52B8E216" w14:textId="77777777" w:rsidR="00BE71AB" w:rsidRPr="00B622EC" w:rsidRDefault="00BE71AB" w:rsidP="00BE71AB">
            <w:pPr>
              <w:spacing w:after="0" w:line="240" w:lineRule="auto"/>
              <w:jc w:val="both"/>
              <w:rPr>
                <w:rFonts w:ascii="Times New Roman" w:hAnsi="Times New Roman"/>
                <w:color w:val="000000" w:themeColor="text1"/>
                <w:sz w:val="24"/>
                <w:szCs w:val="24"/>
                <w:lang w:val="en-US"/>
              </w:rPr>
            </w:pPr>
          </w:p>
          <w:p w14:paraId="4ED0C95E" w14:textId="77777777" w:rsidR="00BE71AB" w:rsidRPr="00B622EC" w:rsidRDefault="00BE71AB" w:rsidP="00BE71AB">
            <w:pPr>
              <w:spacing w:after="0" w:line="240" w:lineRule="auto"/>
              <w:jc w:val="both"/>
              <w:rPr>
                <w:rFonts w:ascii="Times New Roman" w:hAnsi="Times New Roman"/>
                <w:color w:val="000000" w:themeColor="text1"/>
                <w:sz w:val="24"/>
                <w:szCs w:val="24"/>
                <w:lang w:val="en-US"/>
              </w:rPr>
            </w:pPr>
          </w:p>
          <w:p w14:paraId="01BBBDAF" w14:textId="77777777" w:rsidR="00BE71AB" w:rsidRPr="00B622EC" w:rsidRDefault="00BE71AB" w:rsidP="00BE71AB">
            <w:pPr>
              <w:spacing w:after="0" w:line="240" w:lineRule="auto"/>
              <w:jc w:val="both"/>
              <w:rPr>
                <w:rFonts w:ascii="Times New Roman" w:hAnsi="Times New Roman"/>
                <w:color w:val="000000" w:themeColor="text1"/>
                <w:sz w:val="24"/>
                <w:szCs w:val="24"/>
                <w:lang w:val="en-US"/>
              </w:rPr>
            </w:pPr>
          </w:p>
          <w:p w14:paraId="620392D5" w14:textId="7CE53F56" w:rsidR="00BE71AB" w:rsidRPr="00B622EC" w:rsidRDefault="00BE71AB" w:rsidP="00BE71AB">
            <w:pPr>
              <w:spacing w:after="0" w:line="240" w:lineRule="auto"/>
              <w:jc w:val="both"/>
              <w:rPr>
                <w:rFonts w:ascii="Times New Roman" w:hAnsi="Times New Roman"/>
                <w:color w:val="000000" w:themeColor="text1"/>
                <w:sz w:val="24"/>
                <w:szCs w:val="24"/>
                <w:lang w:val="en-US"/>
              </w:rPr>
            </w:pPr>
          </w:p>
        </w:tc>
      </w:tr>
      <w:tr w:rsidR="00BE71AB" w:rsidRPr="00B622EC" w14:paraId="0A43A9A5" w14:textId="77777777" w:rsidTr="009C3E48">
        <w:tc>
          <w:tcPr>
            <w:tcW w:w="460" w:type="pct"/>
            <w:vMerge w:val="restart"/>
            <w:shd w:val="clear" w:color="auto" w:fill="auto"/>
            <w:vAlign w:val="center"/>
          </w:tcPr>
          <w:p w14:paraId="3213B2CB" w14:textId="5985BBBD" w:rsidR="00BE71AB" w:rsidRPr="00B622EC" w:rsidRDefault="00BE71AB" w:rsidP="00BE71AB">
            <w:pPr>
              <w:spacing w:after="0" w:line="240" w:lineRule="auto"/>
              <w:jc w:val="center"/>
              <w:rPr>
                <w:rFonts w:ascii="Times New Roman" w:hAnsi="Times New Roman"/>
                <w:b/>
                <w:color w:val="000000" w:themeColor="text1"/>
                <w:sz w:val="24"/>
                <w:szCs w:val="24"/>
              </w:rPr>
            </w:pPr>
            <w:r w:rsidRPr="00B622EC">
              <w:rPr>
                <w:rFonts w:ascii="Times New Roman" w:hAnsi="Times New Roman"/>
                <w:b/>
                <w:color w:val="000000" w:themeColor="text1"/>
                <w:sz w:val="24"/>
                <w:szCs w:val="24"/>
              </w:rPr>
              <w:t>Các nội dung về hợp đồng dự án (Chương IV)</w:t>
            </w:r>
          </w:p>
        </w:tc>
        <w:tc>
          <w:tcPr>
            <w:tcW w:w="842" w:type="pct"/>
            <w:shd w:val="clear" w:color="auto" w:fill="auto"/>
            <w:vAlign w:val="center"/>
          </w:tcPr>
          <w:p w14:paraId="38BED210" w14:textId="44597211" w:rsidR="00BE71AB" w:rsidRPr="00B622EC" w:rsidRDefault="00BE71AB" w:rsidP="00BE71AB">
            <w:pPr>
              <w:spacing w:after="0" w:line="240" w:lineRule="auto"/>
              <w:jc w:val="center"/>
              <w:rPr>
                <w:rFonts w:ascii="Times New Roman" w:hAnsi="Times New Roman"/>
                <w:b/>
                <w:color w:val="000000" w:themeColor="text1"/>
                <w:sz w:val="24"/>
                <w:szCs w:val="24"/>
              </w:rPr>
            </w:pPr>
            <w:r w:rsidRPr="00B622EC">
              <w:rPr>
                <w:rFonts w:ascii="Times New Roman" w:hAnsi="Times New Roman"/>
                <w:b/>
                <w:color w:val="000000" w:themeColor="text1"/>
                <w:sz w:val="24"/>
                <w:szCs w:val="24"/>
              </w:rPr>
              <w:t>Bình Định, Bộ Giáo dục và Đào tạo, Bộ Công Thương, Bộ Quốc phòng, Đồng Tháp, Gia Lai, Bắc Ninh, Cà Mau, Quảng Ninh, Lạng Sơn, Phú Yên, Hà Nam, Vụ Tài chính tiền tệ, Viện Chiến lược Phát triển - Bộ KH&amp;ĐT, Ngân hàng phát triển Việt Nam,  Công ty CP định giá và dịch vụ tài chính Việt Nam VVFC</w:t>
            </w:r>
          </w:p>
        </w:tc>
        <w:tc>
          <w:tcPr>
            <w:tcW w:w="2362" w:type="pct"/>
            <w:shd w:val="clear" w:color="auto" w:fill="auto"/>
            <w:vAlign w:val="center"/>
          </w:tcPr>
          <w:p w14:paraId="00EF8EC2" w14:textId="77777777" w:rsidR="00BE71AB" w:rsidRPr="00B622EC" w:rsidRDefault="00BE71AB" w:rsidP="00BE71AB">
            <w:pPr>
              <w:tabs>
                <w:tab w:val="left" w:pos="308"/>
              </w:tabs>
              <w:spacing w:after="0" w:line="240" w:lineRule="auto"/>
              <w:jc w:val="both"/>
              <w:rPr>
                <w:rFonts w:ascii="Times New Roman" w:hAnsi="Times New Roman"/>
                <w:color w:val="000000" w:themeColor="text1"/>
                <w:sz w:val="24"/>
                <w:szCs w:val="24"/>
              </w:rPr>
            </w:pPr>
            <w:r w:rsidRPr="00B622EC">
              <w:rPr>
                <w:rFonts w:ascii="Times New Roman" w:hAnsi="Times New Roman"/>
                <w:color w:val="000000" w:themeColor="text1"/>
                <w:sz w:val="24"/>
                <w:szCs w:val="24"/>
              </w:rPr>
              <w:t>Đề xuất quy định cụ thể về các trường hợp chấm dứt hợp đồng trước thời hạn tại lời văn Nghị định.</w:t>
            </w:r>
          </w:p>
          <w:p w14:paraId="5A35C7CC" w14:textId="77777777" w:rsidR="00BE71AB" w:rsidRPr="00B622EC" w:rsidRDefault="00BE71AB" w:rsidP="00BE71AB">
            <w:pPr>
              <w:tabs>
                <w:tab w:val="left" w:pos="308"/>
              </w:tabs>
              <w:spacing w:after="0" w:line="240" w:lineRule="auto"/>
              <w:jc w:val="both"/>
              <w:rPr>
                <w:rFonts w:ascii="Times New Roman" w:hAnsi="Times New Roman"/>
                <w:color w:val="000000" w:themeColor="text1"/>
                <w:sz w:val="24"/>
                <w:szCs w:val="24"/>
              </w:rPr>
            </w:pPr>
          </w:p>
          <w:p w14:paraId="37443D4A" w14:textId="77777777" w:rsidR="00BE71AB" w:rsidRPr="00B622EC" w:rsidRDefault="00BE71AB" w:rsidP="00BE71AB">
            <w:pPr>
              <w:tabs>
                <w:tab w:val="left" w:pos="308"/>
              </w:tabs>
              <w:spacing w:after="0" w:line="240" w:lineRule="auto"/>
              <w:jc w:val="both"/>
              <w:rPr>
                <w:rFonts w:ascii="Times New Roman" w:hAnsi="Times New Roman"/>
                <w:color w:val="000000" w:themeColor="text1"/>
                <w:sz w:val="24"/>
                <w:szCs w:val="24"/>
              </w:rPr>
            </w:pPr>
          </w:p>
          <w:p w14:paraId="43544716" w14:textId="77777777" w:rsidR="00BE71AB" w:rsidRPr="00B622EC" w:rsidRDefault="00BE71AB" w:rsidP="00BE71AB">
            <w:pPr>
              <w:tabs>
                <w:tab w:val="left" w:pos="308"/>
              </w:tabs>
              <w:spacing w:after="0" w:line="240" w:lineRule="auto"/>
              <w:jc w:val="both"/>
              <w:rPr>
                <w:rFonts w:ascii="Times New Roman" w:hAnsi="Times New Roman"/>
                <w:color w:val="000000" w:themeColor="text1"/>
                <w:sz w:val="24"/>
                <w:szCs w:val="24"/>
              </w:rPr>
            </w:pPr>
          </w:p>
          <w:p w14:paraId="392570A1" w14:textId="77777777" w:rsidR="00BE71AB" w:rsidRPr="00B622EC" w:rsidRDefault="00BE71AB" w:rsidP="00BE71AB">
            <w:pPr>
              <w:tabs>
                <w:tab w:val="left" w:pos="308"/>
              </w:tabs>
              <w:spacing w:after="0" w:line="240" w:lineRule="auto"/>
              <w:jc w:val="both"/>
              <w:rPr>
                <w:rFonts w:ascii="Times New Roman" w:hAnsi="Times New Roman"/>
                <w:color w:val="000000" w:themeColor="text1"/>
                <w:sz w:val="24"/>
                <w:szCs w:val="24"/>
              </w:rPr>
            </w:pPr>
          </w:p>
          <w:p w14:paraId="6818D0B5" w14:textId="77777777" w:rsidR="00BE71AB" w:rsidRPr="00B622EC" w:rsidRDefault="00BE71AB" w:rsidP="00BE71AB">
            <w:pPr>
              <w:tabs>
                <w:tab w:val="left" w:pos="308"/>
              </w:tabs>
              <w:spacing w:after="0" w:line="240" w:lineRule="auto"/>
              <w:jc w:val="both"/>
              <w:rPr>
                <w:rFonts w:ascii="Times New Roman" w:hAnsi="Times New Roman"/>
                <w:color w:val="000000" w:themeColor="text1"/>
                <w:sz w:val="24"/>
                <w:szCs w:val="24"/>
              </w:rPr>
            </w:pPr>
          </w:p>
          <w:p w14:paraId="56C9B638" w14:textId="77777777" w:rsidR="00BE71AB" w:rsidRPr="00B622EC" w:rsidRDefault="00BE71AB" w:rsidP="00BE71AB">
            <w:pPr>
              <w:tabs>
                <w:tab w:val="left" w:pos="308"/>
              </w:tabs>
              <w:spacing w:after="0" w:line="240" w:lineRule="auto"/>
              <w:jc w:val="both"/>
              <w:rPr>
                <w:rFonts w:ascii="Times New Roman" w:hAnsi="Times New Roman"/>
                <w:color w:val="000000" w:themeColor="text1"/>
                <w:sz w:val="24"/>
                <w:szCs w:val="24"/>
              </w:rPr>
            </w:pPr>
          </w:p>
          <w:p w14:paraId="3636BFED" w14:textId="77777777" w:rsidR="00BE71AB" w:rsidRPr="00B622EC" w:rsidRDefault="00BE71AB" w:rsidP="00BE71AB">
            <w:pPr>
              <w:tabs>
                <w:tab w:val="left" w:pos="308"/>
              </w:tabs>
              <w:spacing w:after="0" w:line="240" w:lineRule="auto"/>
              <w:jc w:val="both"/>
              <w:rPr>
                <w:rFonts w:ascii="Times New Roman" w:hAnsi="Times New Roman"/>
                <w:color w:val="000000" w:themeColor="text1"/>
                <w:sz w:val="24"/>
                <w:szCs w:val="24"/>
              </w:rPr>
            </w:pPr>
          </w:p>
          <w:p w14:paraId="54BA5D60" w14:textId="77777777" w:rsidR="00BE71AB" w:rsidRPr="00B622EC" w:rsidRDefault="00BE71AB" w:rsidP="00BE71AB">
            <w:pPr>
              <w:tabs>
                <w:tab w:val="left" w:pos="308"/>
              </w:tabs>
              <w:spacing w:after="0" w:line="240" w:lineRule="auto"/>
              <w:jc w:val="both"/>
              <w:rPr>
                <w:rFonts w:ascii="Times New Roman" w:hAnsi="Times New Roman"/>
                <w:color w:val="000000" w:themeColor="text1"/>
                <w:sz w:val="24"/>
                <w:szCs w:val="24"/>
              </w:rPr>
            </w:pPr>
          </w:p>
          <w:p w14:paraId="13FBAB6D" w14:textId="77777777" w:rsidR="00BE71AB" w:rsidRPr="00B622EC" w:rsidRDefault="00BE71AB" w:rsidP="00BE71AB">
            <w:pPr>
              <w:tabs>
                <w:tab w:val="left" w:pos="308"/>
              </w:tabs>
              <w:spacing w:after="0" w:line="240" w:lineRule="auto"/>
              <w:jc w:val="both"/>
              <w:rPr>
                <w:rFonts w:ascii="Times New Roman" w:hAnsi="Times New Roman"/>
                <w:color w:val="000000" w:themeColor="text1"/>
                <w:sz w:val="24"/>
                <w:szCs w:val="24"/>
              </w:rPr>
            </w:pPr>
          </w:p>
          <w:p w14:paraId="646C06C2" w14:textId="77777777" w:rsidR="00BE71AB" w:rsidRPr="00B622EC" w:rsidRDefault="00BE71AB" w:rsidP="00BE71AB">
            <w:pPr>
              <w:tabs>
                <w:tab w:val="left" w:pos="308"/>
              </w:tabs>
              <w:spacing w:after="0" w:line="240" w:lineRule="auto"/>
              <w:jc w:val="both"/>
              <w:rPr>
                <w:rFonts w:ascii="Times New Roman" w:hAnsi="Times New Roman"/>
                <w:color w:val="000000" w:themeColor="text1"/>
                <w:sz w:val="24"/>
                <w:szCs w:val="24"/>
              </w:rPr>
            </w:pPr>
          </w:p>
          <w:p w14:paraId="3206A929" w14:textId="77777777" w:rsidR="00BE71AB" w:rsidRPr="00B622EC" w:rsidRDefault="00BE71AB" w:rsidP="00BE71AB">
            <w:pPr>
              <w:tabs>
                <w:tab w:val="left" w:pos="308"/>
              </w:tabs>
              <w:spacing w:after="0" w:line="240" w:lineRule="auto"/>
              <w:jc w:val="both"/>
              <w:rPr>
                <w:rFonts w:ascii="Times New Roman" w:hAnsi="Times New Roman"/>
                <w:color w:val="000000" w:themeColor="text1"/>
                <w:sz w:val="24"/>
                <w:szCs w:val="24"/>
              </w:rPr>
            </w:pPr>
          </w:p>
          <w:p w14:paraId="0B8D921F" w14:textId="0B861600" w:rsidR="00BE71AB" w:rsidRPr="00B622EC" w:rsidRDefault="00BE71AB" w:rsidP="00BE71AB">
            <w:pPr>
              <w:tabs>
                <w:tab w:val="left" w:pos="308"/>
              </w:tabs>
              <w:spacing w:after="0" w:line="240" w:lineRule="auto"/>
              <w:jc w:val="both"/>
              <w:rPr>
                <w:rFonts w:ascii="Times New Roman" w:hAnsi="Times New Roman"/>
                <w:color w:val="000000" w:themeColor="text1"/>
                <w:sz w:val="24"/>
                <w:szCs w:val="24"/>
              </w:rPr>
            </w:pPr>
          </w:p>
        </w:tc>
        <w:tc>
          <w:tcPr>
            <w:tcW w:w="1336" w:type="pct"/>
            <w:vMerge w:val="restart"/>
            <w:shd w:val="clear" w:color="auto" w:fill="auto"/>
            <w:vAlign w:val="center"/>
          </w:tcPr>
          <w:p w14:paraId="6836E506" w14:textId="77777777" w:rsidR="00BE71AB" w:rsidRPr="00B622EC" w:rsidRDefault="00BE71AB" w:rsidP="00BE71AB">
            <w:pPr>
              <w:spacing w:after="0" w:line="240" w:lineRule="auto"/>
              <w:jc w:val="both"/>
              <w:rPr>
                <w:rFonts w:ascii="Times New Roman" w:hAnsi="Times New Roman"/>
                <w:color w:val="000000" w:themeColor="text1"/>
                <w:sz w:val="24"/>
                <w:szCs w:val="24"/>
              </w:rPr>
            </w:pPr>
            <w:r w:rsidRPr="00B622EC">
              <w:rPr>
                <w:rFonts w:ascii="Times New Roman" w:hAnsi="Times New Roman"/>
                <w:color w:val="000000" w:themeColor="text1"/>
                <w:sz w:val="24"/>
                <w:szCs w:val="24"/>
              </w:rPr>
              <w:t>Khái niệm “vi phạm nghiêm trọng nghĩa vụ hợp đồng” đã được định nghĩa theo quy định của pháp luật về dân sự. Do vậy, Dự thảo Nghị định không quy định chi tiết các trường hợp vi phạm nghiêm trọng việc thực hiện các nghĩa vụ theo hợp đồng của nhà đầu tư, doanh nghiệp dự án và để các bên tự thỏa thuận về nội dung này trong hợp đồng dự án. Các bên có quyền đơn phương chấm dứt hợp đồng dự án PPP trước thời hạn khi một trong các bên trong hợp đồng vi phạm nghiêm trọng việc thực hiện các nghĩa vụ hợp đồng.</w:t>
            </w:r>
          </w:p>
          <w:p w14:paraId="56501D44" w14:textId="77777777" w:rsidR="00BE71AB" w:rsidRPr="00B622EC" w:rsidRDefault="00BE71AB" w:rsidP="00BE71AB">
            <w:pPr>
              <w:spacing w:after="0" w:line="240" w:lineRule="auto"/>
              <w:jc w:val="both"/>
              <w:rPr>
                <w:rFonts w:ascii="Times New Roman" w:hAnsi="Times New Roman"/>
                <w:color w:val="000000" w:themeColor="text1"/>
                <w:sz w:val="24"/>
                <w:szCs w:val="24"/>
              </w:rPr>
            </w:pPr>
          </w:p>
          <w:p w14:paraId="7314282B" w14:textId="77777777" w:rsidR="00BE71AB" w:rsidRPr="00B622EC" w:rsidRDefault="00BE71AB" w:rsidP="00BE71AB">
            <w:pPr>
              <w:spacing w:after="0" w:line="240" w:lineRule="auto"/>
              <w:jc w:val="both"/>
              <w:rPr>
                <w:rFonts w:ascii="Times New Roman" w:hAnsi="Times New Roman"/>
                <w:color w:val="000000" w:themeColor="text1"/>
                <w:sz w:val="24"/>
                <w:szCs w:val="24"/>
              </w:rPr>
            </w:pPr>
          </w:p>
          <w:p w14:paraId="05EC223D" w14:textId="77777777" w:rsidR="00BE71AB" w:rsidRPr="00B622EC" w:rsidRDefault="00BE71AB" w:rsidP="00BE71AB">
            <w:pPr>
              <w:spacing w:after="0" w:line="240" w:lineRule="auto"/>
              <w:jc w:val="both"/>
              <w:rPr>
                <w:rFonts w:ascii="Times New Roman" w:hAnsi="Times New Roman"/>
                <w:color w:val="000000" w:themeColor="text1"/>
                <w:sz w:val="24"/>
                <w:szCs w:val="24"/>
              </w:rPr>
            </w:pPr>
          </w:p>
          <w:p w14:paraId="03B9A318" w14:textId="77777777" w:rsidR="00BE71AB" w:rsidRPr="00B622EC" w:rsidRDefault="00BE71AB" w:rsidP="00BE71AB">
            <w:pPr>
              <w:spacing w:after="0" w:line="240" w:lineRule="auto"/>
              <w:jc w:val="both"/>
              <w:rPr>
                <w:rFonts w:ascii="Times New Roman" w:hAnsi="Times New Roman"/>
                <w:color w:val="000000" w:themeColor="text1"/>
                <w:sz w:val="24"/>
                <w:szCs w:val="24"/>
              </w:rPr>
            </w:pPr>
          </w:p>
          <w:p w14:paraId="730C0853" w14:textId="77777777" w:rsidR="00BE71AB" w:rsidRPr="00B622EC" w:rsidRDefault="00BE71AB" w:rsidP="00BE71AB">
            <w:pPr>
              <w:spacing w:after="0" w:line="240" w:lineRule="auto"/>
              <w:jc w:val="both"/>
              <w:rPr>
                <w:rFonts w:ascii="Times New Roman" w:hAnsi="Times New Roman"/>
                <w:color w:val="000000" w:themeColor="text1"/>
                <w:sz w:val="24"/>
                <w:szCs w:val="24"/>
              </w:rPr>
            </w:pPr>
          </w:p>
          <w:p w14:paraId="21DF35A3" w14:textId="77777777" w:rsidR="00BE71AB" w:rsidRPr="00B622EC" w:rsidRDefault="00BE71AB" w:rsidP="00BE71AB">
            <w:pPr>
              <w:spacing w:after="0" w:line="240" w:lineRule="auto"/>
              <w:jc w:val="both"/>
              <w:rPr>
                <w:rFonts w:ascii="Times New Roman" w:hAnsi="Times New Roman"/>
                <w:color w:val="000000" w:themeColor="text1"/>
                <w:sz w:val="24"/>
                <w:szCs w:val="24"/>
              </w:rPr>
            </w:pPr>
          </w:p>
          <w:p w14:paraId="71ED4A7F" w14:textId="77777777" w:rsidR="00BE71AB" w:rsidRPr="00B622EC" w:rsidRDefault="00BE71AB" w:rsidP="00BE71AB">
            <w:pPr>
              <w:spacing w:after="0" w:line="240" w:lineRule="auto"/>
              <w:jc w:val="both"/>
              <w:rPr>
                <w:rFonts w:ascii="Times New Roman" w:hAnsi="Times New Roman"/>
                <w:color w:val="000000" w:themeColor="text1"/>
                <w:sz w:val="24"/>
                <w:szCs w:val="24"/>
              </w:rPr>
            </w:pPr>
          </w:p>
          <w:p w14:paraId="45D313F2" w14:textId="77777777" w:rsidR="00BE71AB" w:rsidRPr="00B622EC" w:rsidRDefault="00BE71AB" w:rsidP="00BE71AB">
            <w:pPr>
              <w:spacing w:after="0" w:line="240" w:lineRule="auto"/>
              <w:jc w:val="both"/>
              <w:rPr>
                <w:rFonts w:ascii="Times New Roman" w:hAnsi="Times New Roman"/>
                <w:color w:val="000000" w:themeColor="text1"/>
                <w:sz w:val="24"/>
                <w:szCs w:val="24"/>
              </w:rPr>
            </w:pPr>
          </w:p>
          <w:p w14:paraId="3D32766B" w14:textId="77777777" w:rsidR="00BE71AB" w:rsidRPr="00B622EC" w:rsidRDefault="00BE71AB" w:rsidP="00BE71AB">
            <w:pPr>
              <w:spacing w:after="0" w:line="240" w:lineRule="auto"/>
              <w:jc w:val="both"/>
              <w:rPr>
                <w:rFonts w:ascii="Times New Roman" w:hAnsi="Times New Roman"/>
                <w:color w:val="000000" w:themeColor="text1"/>
                <w:sz w:val="24"/>
                <w:szCs w:val="24"/>
              </w:rPr>
            </w:pPr>
          </w:p>
          <w:p w14:paraId="574CC154" w14:textId="77777777" w:rsidR="00BE71AB" w:rsidRPr="00B622EC" w:rsidRDefault="00BE71AB" w:rsidP="00BE71AB">
            <w:pPr>
              <w:spacing w:after="0" w:line="240" w:lineRule="auto"/>
              <w:jc w:val="both"/>
              <w:rPr>
                <w:rFonts w:ascii="Times New Roman" w:hAnsi="Times New Roman"/>
                <w:color w:val="000000" w:themeColor="text1"/>
                <w:sz w:val="24"/>
                <w:szCs w:val="24"/>
              </w:rPr>
            </w:pPr>
          </w:p>
          <w:p w14:paraId="07DC1755" w14:textId="77777777" w:rsidR="00BE71AB" w:rsidRPr="00B622EC" w:rsidRDefault="00BE71AB" w:rsidP="00BE71AB">
            <w:pPr>
              <w:spacing w:after="0" w:line="240" w:lineRule="auto"/>
              <w:jc w:val="both"/>
              <w:rPr>
                <w:rFonts w:ascii="Times New Roman" w:hAnsi="Times New Roman"/>
                <w:color w:val="000000" w:themeColor="text1"/>
                <w:sz w:val="24"/>
                <w:szCs w:val="24"/>
              </w:rPr>
            </w:pPr>
          </w:p>
          <w:p w14:paraId="512B6EBA" w14:textId="0E2DA33D" w:rsidR="00BE71AB" w:rsidRPr="00B622EC" w:rsidRDefault="00BE71AB" w:rsidP="00BE71AB">
            <w:pPr>
              <w:spacing w:after="0" w:line="240" w:lineRule="auto"/>
              <w:jc w:val="both"/>
              <w:rPr>
                <w:rFonts w:ascii="Times New Roman" w:hAnsi="Times New Roman"/>
                <w:color w:val="000000" w:themeColor="text1"/>
                <w:sz w:val="24"/>
                <w:szCs w:val="24"/>
              </w:rPr>
            </w:pPr>
          </w:p>
        </w:tc>
      </w:tr>
      <w:tr w:rsidR="00BE71AB" w:rsidRPr="00B622EC" w14:paraId="40372E6D" w14:textId="77777777" w:rsidTr="009C3E48">
        <w:tc>
          <w:tcPr>
            <w:tcW w:w="460" w:type="pct"/>
            <w:vMerge/>
            <w:shd w:val="clear" w:color="auto" w:fill="auto"/>
            <w:vAlign w:val="center"/>
          </w:tcPr>
          <w:p w14:paraId="4778BDAB" w14:textId="77777777" w:rsidR="00BE71AB" w:rsidRPr="00B622EC" w:rsidRDefault="00BE71AB"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7E1112C6" w14:textId="7D7A6927" w:rsidR="00BE71AB" w:rsidRPr="00B622EC" w:rsidRDefault="00BE71AB" w:rsidP="00BE71AB">
            <w:pPr>
              <w:spacing w:after="0" w:line="240" w:lineRule="auto"/>
              <w:jc w:val="center"/>
              <w:rPr>
                <w:rFonts w:ascii="Times New Roman" w:hAnsi="Times New Roman"/>
                <w:b/>
                <w:color w:val="000000" w:themeColor="text1"/>
                <w:sz w:val="24"/>
                <w:szCs w:val="24"/>
              </w:rPr>
            </w:pPr>
            <w:r w:rsidRPr="00B622EC">
              <w:rPr>
                <w:rFonts w:ascii="Times New Roman" w:hAnsi="Times New Roman"/>
                <w:b/>
                <w:color w:val="000000" w:themeColor="text1"/>
                <w:sz w:val="24"/>
                <w:szCs w:val="24"/>
              </w:rPr>
              <w:t>Bộ Thông tin và truyền thông, Sóc Trăng, Nghệ An, Quỹ phát triển doanh nghiệp nhỏ và vừa, Bộ KH&amp;ĐT</w:t>
            </w:r>
          </w:p>
        </w:tc>
        <w:tc>
          <w:tcPr>
            <w:tcW w:w="2362" w:type="pct"/>
            <w:shd w:val="clear" w:color="auto" w:fill="auto"/>
            <w:vAlign w:val="center"/>
          </w:tcPr>
          <w:p w14:paraId="30CDF4F6" w14:textId="77777777" w:rsidR="00BE71AB" w:rsidRPr="00B622EC" w:rsidRDefault="00BE71AB" w:rsidP="00BE71AB">
            <w:pPr>
              <w:tabs>
                <w:tab w:val="left" w:pos="308"/>
              </w:tabs>
              <w:spacing w:after="0" w:line="240" w:lineRule="auto"/>
              <w:jc w:val="both"/>
              <w:rPr>
                <w:rFonts w:ascii="Times New Roman" w:hAnsi="Times New Roman"/>
                <w:color w:val="000000"/>
                <w:sz w:val="24"/>
                <w:szCs w:val="24"/>
              </w:rPr>
            </w:pPr>
            <w:r w:rsidRPr="00B622EC">
              <w:rPr>
                <w:rFonts w:ascii="Times New Roman" w:hAnsi="Times New Roman"/>
                <w:color w:val="000000"/>
                <w:sz w:val="24"/>
                <w:szCs w:val="24"/>
              </w:rPr>
              <w:t>Các trường hợp chấm dứt hợp đồng cụ thể tùy thuộc vào tính chất của từng dự án nên đưa vào Phụ lục Hướng dẫn lập Hợp đồng dự án PPP.</w:t>
            </w:r>
          </w:p>
          <w:p w14:paraId="09B024DB" w14:textId="77777777" w:rsidR="00BE71AB" w:rsidRPr="00B622EC" w:rsidRDefault="00BE71AB" w:rsidP="00BE71AB">
            <w:pPr>
              <w:tabs>
                <w:tab w:val="left" w:pos="308"/>
              </w:tabs>
              <w:spacing w:after="0" w:line="240" w:lineRule="auto"/>
              <w:jc w:val="both"/>
              <w:rPr>
                <w:rFonts w:ascii="Times New Roman" w:hAnsi="Times New Roman"/>
                <w:color w:val="000000"/>
                <w:sz w:val="24"/>
                <w:szCs w:val="24"/>
              </w:rPr>
            </w:pPr>
          </w:p>
          <w:p w14:paraId="72596BA3" w14:textId="77777777" w:rsidR="00BE71AB" w:rsidRPr="00B622EC" w:rsidRDefault="00BE71AB" w:rsidP="00BE71AB">
            <w:pPr>
              <w:tabs>
                <w:tab w:val="left" w:pos="308"/>
              </w:tabs>
              <w:spacing w:after="0" w:line="240" w:lineRule="auto"/>
              <w:jc w:val="both"/>
              <w:rPr>
                <w:rFonts w:ascii="Times New Roman" w:hAnsi="Times New Roman"/>
                <w:color w:val="000000"/>
                <w:sz w:val="24"/>
                <w:szCs w:val="24"/>
              </w:rPr>
            </w:pPr>
          </w:p>
          <w:p w14:paraId="700A24F9" w14:textId="58BD5457" w:rsidR="00BE71AB" w:rsidRPr="00B622EC" w:rsidRDefault="00BE71AB" w:rsidP="00BE71AB">
            <w:pPr>
              <w:tabs>
                <w:tab w:val="left" w:pos="308"/>
              </w:tabs>
              <w:spacing w:after="0" w:line="240" w:lineRule="auto"/>
              <w:jc w:val="both"/>
              <w:rPr>
                <w:rFonts w:ascii="Times New Roman" w:hAnsi="Times New Roman"/>
                <w:color w:val="000000" w:themeColor="text1"/>
                <w:sz w:val="24"/>
                <w:szCs w:val="24"/>
              </w:rPr>
            </w:pPr>
          </w:p>
        </w:tc>
        <w:tc>
          <w:tcPr>
            <w:tcW w:w="1336" w:type="pct"/>
            <w:vMerge/>
            <w:shd w:val="clear" w:color="auto" w:fill="auto"/>
            <w:vAlign w:val="center"/>
          </w:tcPr>
          <w:p w14:paraId="503945CA" w14:textId="77777777" w:rsidR="00BE71AB" w:rsidRPr="00B622EC" w:rsidRDefault="00BE71AB" w:rsidP="00BE71AB">
            <w:pPr>
              <w:spacing w:after="0" w:line="240" w:lineRule="auto"/>
              <w:jc w:val="both"/>
              <w:rPr>
                <w:rFonts w:ascii="Times New Roman" w:hAnsi="Times New Roman"/>
                <w:color w:val="000000" w:themeColor="text1"/>
                <w:sz w:val="24"/>
                <w:szCs w:val="24"/>
              </w:rPr>
            </w:pPr>
          </w:p>
        </w:tc>
      </w:tr>
      <w:tr w:rsidR="00BE71AB" w:rsidRPr="00B622EC" w14:paraId="149823DE" w14:textId="77777777" w:rsidTr="009C3E48">
        <w:tc>
          <w:tcPr>
            <w:tcW w:w="460" w:type="pct"/>
            <w:vMerge/>
            <w:shd w:val="clear" w:color="auto" w:fill="auto"/>
            <w:vAlign w:val="center"/>
          </w:tcPr>
          <w:p w14:paraId="1540747F" w14:textId="77777777" w:rsidR="00BE71AB" w:rsidRPr="00B622EC" w:rsidRDefault="00BE71AB"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64C1E647" w14:textId="126052CB" w:rsidR="00BE71AB" w:rsidRPr="00B622EC" w:rsidRDefault="00BE71AB" w:rsidP="00BE71AB">
            <w:pPr>
              <w:spacing w:after="0" w:line="240" w:lineRule="auto"/>
              <w:jc w:val="center"/>
              <w:rPr>
                <w:rFonts w:ascii="Times New Roman" w:hAnsi="Times New Roman"/>
                <w:b/>
                <w:color w:val="000000" w:themeColor="text1"/>
                <w:sz w:val="24"/>
                <w:szCs w:val="24"/>
              </w:rPr>
            </w:pPr>
            <w:r w:rsidRPr="00B622EC">
              <w:rPr>
                <w:rFonts w:ascii="Times New Roman" w:hAnsi="Times New Roman"/>
                <w:b/>
                <w:color w:val="000000" w:themeColor="text1"/>
                <w:sz w:val="24"/>
                <w:szCs w:val="24"/>
              </w:rPr>
              <w:t>Bộ Giáo dục và Đào tạo</w:t>
            </w:r>
          </w:p>
        </w:tc>
        <w:tc>
          <w:tcPr>
            <w:tcW w:w="2362" w:type="pct"/>
            <w:shd w:val="clear" w:color="auto" w:fill="auto"/>
            <w:vAlign w:val="center"/>
          </w:tcPr>
          <w:p w14:paraId="7DAC3032" w14:textId="29D168DA" w:rsidR="00BE71AB" w:rsidRPr="00B622EC" w:rsidRDefault="00BE71AB" w:rsidP="00BE71AB">
            <w:pPr>
              <w:tabs>
                <w:tab w:val="left" w:pos="308"/>
              </w:tabs>
              <w:spacing w:after="0" w:line="240" w:lineRule="auto"/>
              <w:jc w:val="both"/>
              <w:rPr>
                <w:rFonts w:ascii="Times New Roman" w:hAnsi="Times New Roman"/>
                <w:color w:val="000000" w:themeColor="text1"/>
                <w:sz w:val="24"/>
                <w:szCs w:val="24"/>
              </w:rPr>
            </w:pPr>
            <w:r w:rsidRPr="00B622EC">
              <w:rPr>
                <w:rFonts w:ascii="Times New Roman" w:hAnsi="Times New Roman"/>
                <w:color w:val="000000" w:themeColor="text1"/>
                <w:sz w:val="24"/>
                <w:szCs w:val="24"/>
              </w:rPr>
              <w:t>Đề nghị bổ sung nội dung về doanh nghiệp dự án PPP hoạt động kinh doanh ngoài phạm vi dự án (vi phạm khoản 1 Điều 44 Luật Đầu tư PPP)</w:t>
            </w:r>
          </w:p>
        </w:tc>
        <w:tc>
          <w:tcPr>
            <w:tcW w:w="1336" w:type="pct"/>
            <w:vMerge/>
            <w:shd w:val="clear" w:color="auto" w:fill="auto"/>
            <w:vAlign w:val="center"/>
          </w:tcPr>
          <w:p w14:paraId="51C1D869" w14:textId="77777777" w:rsidR="00BE71AB" w:rsidRPr="00B622EC" w:rsidRDefault="00BE71AB" w:rsidP="00BE71AB">
            <w:pPr>
              <w:spacing w:after="0" w:line="240" w:lineRule="auto"/>
              <w:jc w:val="both"/>
              <w:rPr>
                <w:rFonts w:ascii="Times New Roman" w:hAnsi="Times New Roman"/>
                <w:color w:val="000000" w:themeColor="text1"/>
                <w:sz w:val="24"/>
                <w:szCs w:val="24"/>
              </w:rPr>
            </w:pPr>
          </w:p>
        </w:tc>
      </w:tr>
      <w:tr w:rsidR="00BE71AB" w:rsidRPr="00B622EC" w14:paraId="3E10E7D6" w14:textId="77777777" w:rsidTr="009C3E48">
        <w:tc>
          <w:tcPr>
            <w:tcW w:w="460" w:type="pct"/>
            <w:vMerge/>
            <w:shd w:val="clear" w:color="auto" w:fill="auto"/>
            <w:vAlign w:val="center"/>
          </w:tcPr>
          <w:p w14:paraId="12E243FA" w14:textId="77777777" w:rsidR="00BE71AB" w:rsidRPr="00B622EC" w:rsidRDefault="00BE71AB" w:rsidP="00BE71AB">
            <w:pPr>
              <w:spacing w:after="0" w:line="240" w:lineRule="auto"/>
              <w:jc w:val="center"/>
              <w:rPr>
                <w:rFonts w:ascii="Times New Roman" w:hAnsi="Times New Roman"/>
                <w:b/>
                <w:color w:val="000000" w:themeColor="text1"/>
                <w:sz w:val="24"/>
                <w:szCs w:val="24"/>
              </w:rPr>
            </w:pPr>
          </w:p>
        </w:tc>
        <w:tc>
          <w:tcPr>
            <w:tcW w:w="842" w:type="pct"/>
            <w:shd w:val="clear" w:color="auto" w:fill="auto"/>
          </w:tcPr>
          <w:p w14:paraId="5EE9FFEE" w14:textId="77777777" w:rsidR="00BE71AB" w:rsidRPr="00B622EC" w:rsidRDefault="00BE71AB" w:rsidP="00BE71AB">
            <w:pPr>
              <w:spacing w:after="0" w:line="240" w:lineRule="auto"/>
              <w:jc w:val="center"/>
              <w:rPr>
                <w:rFonts w:ascii="Times New Roman" w:hAnsi="Times New Roman"/>
                <w:b/>
                <w:color w:val="000000" w:themeColor="text1"/>
                <w:sz w:val="24"/>
                <w:szCs w:val="24"/>
              </w:rPr>
            </w:pPr>
          </w:p>
          <w:p w14:paraId="0D569B13" w14:textId="520C3370" w:rsidR="00BE71AB" w:rsidRPr="00B622EC" w:rsidRDefault="00BE71AB" w:rsidP="00BE71AB">
            <w:pPr>
              <w:spacing w:after="0" w:line="240" w:lineRule="auto"/>
              <w:jc w:val="center"/>
              <w:rPr>
                <w:rFonts w:ascii="Times New Roman" w:hAnsi="Times New Roman"/>
                <w:b/>
                <w:color w:val="000000" w:themeColor="text1"/>
                <w:sz w:val="24"/>
                <w:szCs w:val="24"/>
              </w:rPr>
            </w:pPr>
            <w:r w:rsidRPr="00B622EC">
              <w:rPr>
                <w:rFonts w:ascii="Times New Roman" w:hAnsi="Times New Roman"/>
                <w:b/>
                <w:color w:val="000000" w:themeColor="text1"/>
                <w:sz w:val="24"/>
                <w:szCs w:val="24"/>
                <w:lang w:val="en-US"/>
              </w:rPr>
              <w:t>Nam Định</w:t>
            </w:r>
          </w:p>
        </w:tc>
        <w:tc>
          <w:tcPr>
            <w:tcW w:w="2362" w:type="pct"/>
            <w:shd w:val="clear" w:color="auto" w:fill="auto"/>
          </w:tcPr>
          <w:p w14:paraId="4E87E5CB" w14:textId="391E31B2" w:rsidR="00BE71AB" w:rsidRPr="00B622EC" w:rsidRDefault="00BE71AB" w:rsidP="00BE71AB">
            <w:pPr>
              <w:tabs>
                <w:tab w:val="left" w:pos="308"/>
              </w:tabs>
              <w:spacing w:after="0" w:line="240" w:lineRule="auto"/>
              <w:jc w:val="both"/>
              <w:rPr>
                <w:rFonts w:ascii="Times New Roman" w:hAnsi="Times New Roman"/>
                <w:color w:val="000000" w:themeColor="text1"/>
                <w:sz w:val="24"/>
                <w:szCs w:val="24"/>
              </w:rPr>
            </w:pPr>
            <w:r w:rsidRPr="00B622EC">
              <w:rPr>
                <w:rFonts w:ascii="Times New Roman" w:hAnsi="Times New Roman"/>
                <w:color w:val="000000" w:themeColor="text1"/>
                <w:sz w:val="24"/>
                <w:szCs w:val="24"/>
              </w:rPr>
              <w:t>Đề nghị cơ quan soạn thảo nghiên cứu bỏ trường hợp quy định tại Khoản 1 “Chậm trễ trong việc hỗ trợ nhà đầu tư, doanh nghiệp dự án nhận được các giấy phép cần thiết để triển khai dự án và không thực hiện các biện pháp khắc phục theo quy định tại hợp đồng”.</w:t>
            </w:r>
          </w:p>
        </w:tc>
        <w:tc>
          <w:tcPr>
            <w:tcW w:w="1336" w:type="pct"/>
            <w:vMerge/>
            <w:shd w:val="clear" w:color="auto" w:fill="auto"/>
            <w:vAlign w:val="center"/>
          </w:tcPr>
          <w:p w14:paraId="4E8777EF" w14:textId="77777777" w:rsidR="00BE71AB" w:rsidRPr="00B622EC" w:rsidRDefault="00BE71AB" w:rsidP="00BE71AB">
            <w:pPr>
              <w:spacing w:after="0" w:line="240" w:lineRule="auto"/>
              <w:jc w:val="both"/>
              <w:rPr>
                <w:rFonts w:ascii="Times New Roman" w:hAnsi="Times New Roman"/>
                <w:color w:val="000000" w:themeColor="text1"/>
                <w:sz w:val="24"/>
                <w:szCs w:val="24"/>
              </w:rPr>
            </w:pPr>
          </w:p>
        </w:tc>
      </w:tr>
      <w:tr w:rsidR="00BE71AB" w:rsidRPr="00B622EC" w14:paraId="48B5230C" w14:textId="77777777" w:rsidTr="009C3E48">
        <w:tc>
          <w:tcPr>
            <w:tcW w:w="460" w:type="pct"/>
            <w:vMerge/>
            <w:shd w:val="clear" w:color="auto" w:fill="auto"/>
            <w:vAlign w:val="center"/>
          </w:tcPr>
          <w:p w14:paraId="2B4759A5" w14:textId="77777777" w:rsidR="00BE71AB" w:rsidRPr="00B622EC" w:rsidRDefault="00BE71AB" w:rsidP="00BE71AB">
            <w:pPr>
              <w:spacing w:after="0" w:line="240" w:lineRule="auto"/>
              <w:jc w:val="center"/>
              <w:rPr>
                <w:rFonts w:ascii="Times New Roman" w:hAnsi="Times New Roman"/>
                <w:b/>
                <w:color w:val="000000" w:themeColor="text1"/>
                <w:sz w:val="24"/>
                <w:szCs w:val="24"/>
              </w:rPr>
            </w:pPr>
          </w:p>
        </w:tc>
        <w:tc>
          <w:tcPr>
            <w:tcW w:w="842" w:type="pct"/>
            <w:shd w:val="clear" w:color="auto" w:fill="auto"/>
          </w:tcPr>
          <w:p w14:paraId="6B46E721" w14:textId="61F6DE87" w:rsidR="00BE71AB" w:rsidRPr="00B622EC" w:rsidRDefault="00BE71AB" w:rsidP="00BE71AB">
            <w:pPr>
              <w:spacing w:after="0" w:line="240" w:lineRule="auto"/>
              <w:jc w:val="center"/>
              <w:rPr>
                <w:rFonts w:ascii="Times New Roman" w:hAnsi="Times New Roman"/>
                <w:b/>
                <w:color w:val="000000" w:themeColor="text1"/>
                <w:sz w:val="24"/>
                <w:szCs w:val="24"/>
              </w:rPr>
            </w:pPr>
            <w:r w:rsidRPr="00B622EC">
              <w:rPr>
                <w:rFonts w:ascii="Times New Roman" w:hAnsi="Times New Roman"/>
                <w:b/>
                <w:color w:val="000000" w:themeColor="text1"/>
                <w:sz w:val="24"/>
                <w:szCs w:val="24"/>
              </w:rPr>
              <w:t>Ngân hàng TMCP đầu tư và phát triển Việt Nam BIDV</w:t>
            </w:r>
          </w:p>
        </w:tc>
        <w:tc>
          <w:tcPr>
            <w:tcW w:w="2362" w:type="pct"/>
            <w:shd w:val="clear" w:color="auto" w:fill="auto"/>
          </w:tcPr>
          <w:p w14:paraId="30B3E171" w14:textId="43D89F73" w:rsidR="00BE71AB" w:rsidRPr="00B622EC" w:rsidRDefault="00BE71AB" w:rsidP="00BE71AB">
            <w:pPr>
              <w:tabs>
                <w:tab w:val="left" w:pos="308"/>
              </w:tabs>
              <w:spacing w:after="0" w:line="240" w:lineRule="auto"/>
              <w:ind w:left="24"/>
              <w:jc w:val="both"/>
              <w:rPr>
                <w:rFonts w:asciiTheme="majorHAnsi" w:hAnsiTheme="majorHAnsi" w:cstheme="majorHAnsi"/>
                <w:sz w:val="24"/>
                <w:szCs w:val="24"/>
              </w:rPr>
            </w:pPr>
            <w:r w:rsidRPr="00B622EC">
              <w:rPr>
                <w:rFonts w:asciiTheme="majorHAnsi" w:hAnsiTheme="majorHAnsi" w:cstheme="majorHAnsi"/>
                <w:sz w:val="24"/>
                <w:szCs w:val="24"/>
              </w:rPr>
              <w:t>- Đề nghị bổ sung quy định cụ thể về việc xử lý khoản vay của nhà dầu tư, doanh nghiệp dự án (trách nhiệm trả nợ trước hạn/đến hạn/quá hạn theo thỏa thuận tại hợp đông tín dụng đã ký kết giữa TCTD và nhà đầu tư, doanh nghiệp dự án...)</w:t>
            </w:r>
          </w:p>
          <w:p w14:paraId="1A1DD52D" w14:textId="735522F3" w:rsidR="00BE71AB" w:rsidRPr="00B622EC" w:rsidRDefault="00BE71AB" w:rsidP="00BE71AB">
            <w:pPr>
              <w:tabs>
                <w:tab w:val="left" w:pos="308"/>
              </w:tabs>
              <w:spacing w:after="0" w:line="240" w:lineRule="auto"/>
              <w:ind w:left="24"/>
              <w:jc w:val="both"/>
              <w:rPr>
                <w:rFonts w:ascii="Times New Roman" w:hAnsi="Times New Roman"/>
                <w:color w:val="000000" w:themeColor="text1"/>
                <w:sz w:val="24"/>
                <w:szCs w:val="24"/>
              </w:rPr>
            </w:pPr>
            <w:r w:rsidRPr="00B622EC">
              <w:rPr>
                <w:rFonts w:asciiTheme="majorHAnsi" w:hAnsiTheme="majorHAnsi" w:cstheme="majorHAnsi"/>
                <w:iCs/>
                <w:sz w:val="24"/>
                <w:szCs w:val="24"/>
              </w:rPr>
              <w:t>- Rà soát dẫn chiếu về các trường hợp chấm dứt hợp đồng trước thời hạn theo quy định tại Luật</w:t>
            </w:r>
          </w:p>
        </w:tc>
        <w:tc>
          <w:tcPr>
            <w:tcW w:w="1336" w:type="pct"/>
            <w:shd w:val="clear" w:color="auto" w:fill="auto"/>
            <w:vAlign w:val="center"/>
          </w:tcPr>
          <w:p w14:paraId="0587E050" w14:textId="077DB3A5" w:rsidR="00BE71AB" w:rsidRPr="00B622EC" w:rsidRDefault="00BE71AB" w:rsidP="00BE71AB">
            <w:pPr>
              <w:spacing w:after="0" w:line="240" w:lineRule="auto"/>
              <w:jc w:val="both"/>
              <w:rPr>
                <w:rFonts w:ascii="Times New Roman" w:hAnsi="Times New Roman"/>
                <w:color w:val="000000" w:themeColor="text1"/>
                <w:sz w:val="24"/>
                <w:szCs w:val="24"/>
              </w:rPr>
            </w:pPr>
            <w:r w:rsidRPr="00B622EC">
              <w:rPr>
                <w:rFonts w:ascii="Times New Roman" w:hAnsi="Times New Roman"/>
                <w:color w:val="000000" w:themeColor="text1"/>
                <w:sz w:val="24"/>
                <w:szCs w:val="24"/>
              </w:rPr>
              <w:t>Việc xử lý khoản vay của nhà đầu tư, doanh nghiệp dự án được quy định tại thỏa thuận vay và thỏa thuận trực tiếp giữa cơ quan có thẩm quyền, nhà đầu tư và bên cho vay.</w:t>
            </w:r>
          </w:p>
        </w:tc>
      </w:tr>
      <w:tr w:rsidR="00BE71AB" w:rsidRPr="00B622EC" w14:paraId="5956DB8C" w14:textId="77777777" w:rsidTr="009C3E48">
        <w:tc>
          <w:tcPr>
            <w:tcW w:w="460" w:type="pct"/>
            <w:vMerge/>
            <w:shd w:val="clear" w:color="auto" w:fill="auto"/>
            <w:vAlign w:val="center"/>
          </w:tcPr>
          <w:p w14:paraId="3D5AF7CF" w14:textId="77777777" w:rsidR="00BE71AB" w:rsidRPr="00B622EC" w:rsidRDefault="00BE71AB"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65E1934B" w14:textId="272B8F59" w:rsidR="00BE71AB" w:rsidRPr="00B622EC" w:rsidRDefault="00BE71AB" w:rsidP="00BE71AB">
            <w:pPr>
              <w:spacing w:after="0" w:line="240" w:lineRule="auto"/>
              <w:jc w:val="center"/>
              <w:rPr>
                <w:rFonts w:ascii="Times New Roman" w:hAnsi="Times New Roman"/>
                <w:b/>
                <w:color w:val="000000" w:themeColor="text1"/>
                <w:sz w:val="24"/>
                <w:szCs w:val="24"/>
              </w:rPr>
            </w:pPr>
            <w:r w:rsidRPr="00B622EC">
              <w:rPr>
                <w:rFonts w:ascii="Times New Roman" w:hAnsi="Times New Roman"/>
                <w:b/>
                <w:color w:val="000000" w:themeColor="text1"/>
                <w:sz w:val="24"/>
                <w:szCs w:val="24"/>
                <w:lang w:val="en-US"/>
              </w:rPr>
              <w:t>Đồng Tháp</w:t>
            </w:r>
          </w:p>
        </w:tc>
        <w:tc>
          <w:tcPr>
            <w:tcW w:w="2362" w:type="pct"/>
            <w:shd w:val="clear" w:color="auto" w:fill="auto"/>
            <w:vAlign w:val="center"/>
          </w:tcPr>
          <w:p w14:paraId="19DC8EF2" w14:textId="66098AB1" w:rsidR="00BE71AB" w:rsidRPr="00B622EC" w:rsidRDefault="00BE71AB" w:rsidP="00BE71AB">
            <w:pPr>
              <w:tabs>
                <w:tab w:val="left" w:pos="308"/>
              </w:tabs>
              <w:spacing w:after="0" w:line="240" w:lineRule="auto"/>
              <w:ind w:left="24"/>
              <w:jc w:val="both"/>
              <w:rPr>
                <w:rFonts w:ascii="Times New Roman" w:hAnsi="Times New Roman"/>
                <w:color w:val="000000" w:themeColor="text1"/>
                <w:sz w:val="24"/>
                <w:szCs w:val="24"/>
              </w:rPr>
            </w:pPr>
            <w:r w:rsidRPr="00B622EC">
              <w:rPr>
                <w:rFonts w:ascii="Times New Roman" w:hAnsi="Times New Roman"/>
                <w:color w:val="000000" w:themeColor="text1"/>
                <w:sz w:val="24"/>
                <w:szCs w:val="24"/>
              </w:rPr>
              <w:t>Tỷ lệ giá trị phạt hợp đồng do Cơ quan ký kết hợp đồng và Nhà đầu tư, doanh nghiệp dự án đàm phán trong quá trình thương thảo hợp đồng.</w:t>
            </w:r>
          </w:p>
        </w:tc>
        <w:tc>
          <w:tcPr>
            <w:tcW w:w="1336" w:type="pct"/>
            <w:shd w:val="clear" w:color="auto" w:fill="auto"/>
            <w:vAlign w:val="center"/>
          </w:tcPr>
          <w:p w14:paraId="3D64A691" w14:textId="24FB02ED" w:rsidR="00BE71AB" w:rsidRPr="00B622EC" w:rsidRDefault="00BE71AB" w:rsidP="00BE71AB">
            <w:pPr>
              <w:spacing w:after="0" w:line="240" w:lineRule="auto"/>
              <w:jc w:val="both"/>
              <w:rPr>
                <w:rFonts w:ascii="Times New Roman" w:hAnsi="Times New Roman"/>
                <w:color w:val="000000" w:themeColor="text1"/>
                <w:sz w:val="24"/>
                <w:szCs w:val="24"/>
              </w:rPr>
            </w:pPr>
            <w:r w:rsidRPr="00B622EC">
              <w:rPr>
                <w:rFonts w:ascii="Times New Roman" w:hAnsi="Times New Roman"/>
                <w:color w:val="000000" w:themeColor="text1"/>
                <w:sz w:val="24"/>
                <w:szCs w:val="24"/>
              </w:rPr>
              <w:t>Dự thảo quy định theo hướng Hợp đồng dự án PPP quy định công thức xác định mức chi phí xử lý tương ứng các trường hợp chấm dứt hợp đồng trước thời hạn.</w:t>
            </w:r>
          </w:p>
        </w:tc>
      </w:tr>
      <w:tr w:rsidR="00BE71AB" w:rsidRPr="00B622EC" w14:paraId="7FB2B8FB" w14:textId="77777777" w:rsidTr="009C3E48">
        <w:tc>
          <w:tcPr>
            <w:tcW w:w="460" w:type="pct"/>
            <w:vMerge/>
            <w:shd w:val="clear" w:color="auto" w:fill="auto"/>
            <w:vAlign w:val="center"/>
          </w:tcPr>
          <w:p w14:paraId="4DBC063E" w14:textId="77777777" w:rsidR="00BE71AB" w:rsidRPr="00B622EC" w:rsidRDefault="00BE71AB"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414861B9" w14:textId="19FB2465" w:rsidR="00BE71AB" w:rsidRPr="00B622EC" w:rsidRDefault="00BE71AB" w:rsidP="00BE71AB">
            <w:pPr>
              <w:spacing w:after="0" w:line="240" w:lineRule="auto"/>
              <w:jc w:val="center"/>
              <w:rPr>
                <w:rFonts w:ascii="Times New Roman" w:hAnsi="Times New Roman"/>
                <w:b/>
                <w:color w:val="000000" w:themeColor="text1"/>
                <w:sz w:val="24"/>
                <w:szCs w:val="24"/>
              </w:rPr>
            </w:pPr>
            <w:r w:rsidRPr="00B622EC">
              <w:rPr>
                <w:rFonts w:ascii="Times New Roman" w:hAnsi="Times New Roman"/>
                <w:b/>
                <w:color w:val="000000" w:themeColor="text1"/>
                <w:sz w:val="24"/>
                <w:szCs w:val="24"/>
              </w:rPr>
              <w:t>Cao Bằng, Viện Chiến lược &amp; Phát triển – Bộ KH&amp;ĐT</w:t>
            </w:r>
          </w:p>
        </w:tc>
        <w:tc>
          <w:tcPr>
            <w:tcW w:w="2362" w:type="pct"/>
            <w:shd w:val="clear" w:color="auto" w:fill="auto"/>
            <w:vAlign w:val="center"/>
          </w:tcPr>
          <w:p w14:paraId="10D9D0F3" w14:textId="396056FD" w:rsidR="00BE71AB" w:rsidRPr="00B622EC" w:rsidRDefault="00BE71AB" w:rsidP="00BE71AB">
            <w:pPr>
              <w:tabs>
                <w:tab w:val="left" w:pos="308"/>
              </w:tabs>
              <w:spacing w:after="0" w:line="240" w:lineRule="auto"/>
              <w:ind w:left="24"/>
              <w:jc w:val="both"/>
              <w:rPr>
                <w:rFonts w:ascii="Times New Roman" w:hAnsi="Times New Roman"/>
                <w:color w:val="000000" w:themeColor="text1"/>
                <w:sz w:val="24"/>
                <w:szCs w:val="24"/>
              </w:rPr>
            </w:pPr>
            <w:r w:rsidRPr="00B622EC">
              <w:rPr>
                <w:rFonts w:ascii="Times New Roman" w:hAnsi="Times New Roman"/>
                <w:color w:val="000000" w:themeColor="text1"/>
                <w:sz w:val="24"/>
                <w:szCs w:val="24"/>
              </w:rPr>
              <w:t>Xác định nguồn vốn bồi thường trong trường hợp cơ quan nhà nước phải bồi thường.</w:t>
            </w:r>
          </w:p>
        </w:tc>
        <w:tc>
          <w:tcPr>
            <w:tcW w:w="1336" w:type="pct"/>
            <w:shd w:val="clear" w:color="auto" w:fill="auto"/>
            <w:vAlign w:val="center"/>
          </w:tcPr>
          <w:p w14:paraId="0F31AC7C" w14:textId="64E4205C" w:rsidR="00BE71AB" w:rsidRPr="00B622EC" w:rsidRDefault="00BE71AB" w:rsidP="00BE71AB">
            <w:pPr>
              <w:spacing w:after="0" w:line="240" w:lineRule="auto"/>
              <w:jc w:val="both"/>
              <w:rPr>
                <w:rFonts w:ascii="Times New Roman" w:hAnsi="Times New Roman"/>
                <w:color w:val="000000" w:themeColor="text1"/>
                <w:sz w:val="24"/>
                <w:szCs w:val="24"/>
              </w:rPr>
            </w:pPr>
            <w:r w:rsidRPr="00B622EC">
              <w:rPr>
                <w:rFonts w:ascii="Times New Roman" w:hAnsi="Times New Roman"/>
                <w:color w:val="000000" w:themeColor="text1"/>
                <w:sz w:val="24"/>
                <w:szCs w:val="24"/>
              </w:rPr>
              <w:t>Nội dung này Bộ KH&amp;ĐT báo cáo Chính phủ giao Bộ Tài chính hướng dẫn chi tiết do liên quan đến chi phí và nguồn xử lý các chi phí.</w:t>
            </w:r>
          </w:p>
        </w:tc>
      </w:tr>
      <w:tr w:rsidR="00BE71AB" w:rsidRPr="00B622EC" w14:paraId="6604583F" w14:textId="77777777" w:rsidTr="009C3E48">
        <w:tc>
          <w:tcPr>
            <w:tcW w:w="460" w:type="pct"/>
            <w:shd w:val="clear" w:color="auto" w:fill="auto"/>
            <w:vAlign w:val="center"/>
          </w:tcPr>
          <w:p w14:paraId="45400D79" w14:textId="53D310A6" w:rsidR="00BE71AB" w:rsidRPr="00B622EC" w:rsidRDefault="00BE71AB" w:rsidP="00BE71AB">
            <w:pPr>
              <w:spacing w:after="0" w:line="240" w:lineRule="auto"/>
              <w:jc w:val="center"/>
              <w:rPr>
                <w:rFonts w:ascii="Times New Roman" w:hAnsi="Times New Roman"/>
                <w:b/>
                <w:color w:val="000000" w:themeColor="text1"/>
                <w:sz w:val="24"/>
                <w:szCs w:val="24"/>
              </w:rPr>
            </w:pPr>
            <w:r w:rsidRPr="00B622EC">
              <w:rPr>
                <w:rFonts w:ascii="Times New Roman" w:hAnsi="Times New Roman"/>
                <w:b/>
                <w:color w:val="000000" w:themeColor="text1"/>
                <w:sz w:val="24"/>
                <w:szCs w:val="24"/>
              </w:rPr>
              <w:t>Xử lý vi phạm (Chương V</w:t>
            </w:r>
            <w:r w:rsidR="0043127B" w:rsidRPr="0043127B">
              <w:rPr>
                <w:rFonts w:ascii="Times New Roman" w:hAnsi="Times New Roman"/>
                <w:b/>
                <w:color w:val="000000" w:themeColor="text1"/>
                <w:sz w:val="24"/>
                <w:szCs w:val="24"/>
              </w:rPr>
              <w:t>I</w:t>
            </w:r>
            <w:r w:rsidRPr="00B622EC">
              <w:rPr>
                <w:rFonts w:ascii="Times New Roman" w:hAnsi="Times New Roman"/>
                <w:b/>
                <w:color w:val="000000" w:themeColor="text1"/>
                <w:sz w:val="24"/>
                <w:szCs w:val="24"/>
              </w:rPr>
              <w:t>I)</w:t>
            </w:r>
          </w:p>
        </w:tc>
        <w:tc>
          <w:tcPr>
            <w:tcW w:w="842" w:type="pct"/>
            <w:shd w:val="clear" w:color="auto" w:fill="auto"/>
            <w:vAlign w:val="center"/>
          </w:tcPr>
          <w:p w14:paraId="4551B685" w14:textId="6EE0F013" w:rsidR="00BE71AB" w:rsidRPr="00B622EC" w:rsidRDefault="00BE71AB" w:rsidP="00BE71AB">
            <w:pPr>
              <w:spacing w:after="0" w:line="240" w:lineRule="auto"/>
              <w:jc w:val="center"/>
              <w:rPr>
                <w:rFonts w:ascii="Times New Roman" w:hAnsi="Times New Roman"/>
                <w:b/>
                <w:bCs/>
                <w:color w:val="000000" w:themeColor="text1"/>
                <w:sz w:val="24"/>
                <w:szCs w:val="24"/>
                <w:lang w:val="en-US"/>
              </w:rPr>
            </w:pPr>
            <w:r w:rsidRPr="00B622EC">
              <w:rPr>
                <w:rFonts w:ascii="Times New Roman" w:hAnsi="Times New Roman"/>
                <w:b/>
                <w:bCs/>
                <w:color w:val="000000" w:themeColor="text1"/>
                <w:sz w:val="24"/>
                <w:szCs w:val="24"/>
                <w:lang w:val="en-US"/>
              </w:rPr>
              <w:t>Thanh tra Bộ KH&amp;ĐT</w:t>
            </w:r>
          </w:p>
        </w:tc>
        <w:tc>
          <w:tcPr>
            <w:tcW w:w="2362" w:type="pct"/>
            <w:shd w:val="clear" w:color="auto" w:fill="auto"/>
            <w:vAlign w:val="center"/>
          </w:tcPr>
          <w:p w14:paraId="2B5393B9" w14:textId="77777777" w:rsidR="0043127B" w:rsidRDefault="00BE71AB" w:rsidP="0043127B">
            <w:pPr>
              <w:spacing w:after="0" w:line="240" w:lineRule="auto"/>
              <w:jc w:val="both"/>
              <w:rPr>
                <w:rFonts w:ascii="Times New Roman" w:hAnsi="Times New Roman"/>
                <w:color w:val="000000" w:themeColor="text1"/>
                <w:sz w:val="24"/>
                <w:szCs w:val="24"/>
              </w:rPr>
            </w:pPr>
            <w:r w:rsidRPr="00B622EC">
              <w:rPr>
                <w:rFonts w:ascii="Times New Roman" w:hAnsi="Times New Roman"/>
                <w:color w:val="000000" w:themeColor="text1"/>
                <w:sz w:val="24"/>
                <w:szCs w:val="24"/>
              </w:rPr>
              <w:t xml:space="preserve">Đề nghị bỏ nội dung </w:t>
            </w:r>
            <w:r w:rsidR="0043127B" w:rsidRPr="0043127B">
              <w:rPr>
                <w:rFonts w:ascii="Times New Roman" w:hAnsi="Times New Roman"/>
                <w:color w:val="000000" w:themeColor="text1"/>
                <w:sz w:val="24"/>
                <w:szCs w:val="24"/>
              </w:rPr>
              <w:t>k</w:t>
            </w:r>
            <w:r w:rsidR="0043127B" w:rsidRPr="00B622EC">
              <w:rPr>
                <w:rFonts w:ascii="Times New Roman" w:hAnsi="Times New Roman"/>
                <w:color w:val="000000" w:themeColor="text1"/>
                <w:sz w:val="24"/>
                <w:szCs w:val="24"/>
              </w:rPr>
              <w:t xml:space="preserve">hoản 2 Điều 42 </w:t>
            </w:r>
            <w:r w:rsidRPr="00B622EC">
              <w:rPr>
                <w:rFonts w:ascii="Times New Roman" w:hAnsi="Times New Roman"/>
                <w:color w:val="000000" w:themeColor="text1"/>
                <w:sz w:val="24"/>
                <w:szCs w:val="24"/>
              </w:rPr>
              <w:t>do thuộc phạm vi điều chỉnh của pháp luật về xử lý vi phạm hành chính và sẽ được quy định cụ thể tại Nghị định về xử phạt vi phạm hành chính trong lĩnh vực kế hoạch và đầu tư.</w:t>
            </w:r>
          </w:p>
          <w:p w14:paraId="6AD3E4CE" w14:textId="180FA5AD" w:rsidR="0043127B" w:rsidRPr="00B622EC" w:rsidRDefault="0043127B" w:rsidP="0043127B">
            <w:pPr>
              <w:spacing w:after="0" w:line="240" w:lineRule="auto"/>
              <w:jc w:val="both"/>
              <w:rPr>
                <w:rFonts w:ascii="Times New Roman" w:hAnsi="Times New Roman"/>
                <w:color w:val="000000" w:themeColor="text1"/>
                <w:sz w:val="24"/>
                <w:szCs w:val="24"/>
              </w:rPr>
            </w:pPr>
          </w:p>
        </w:tc>
        <w:tc>
          <w:tcPr>
            <w:tcW w:w="1336" w:type="pct"/>
            <w:shd w:val="clear" w:color="auto" w:fill="auto"/>
            <w:vAlign w:val="center"/>
          </w:tcPr>
          <w:p w14:paraId="144BF543" w14:textId="77777777" w:rsidR="0043127B" w:rsidRDefault="0043127B" w:rsidP="00BE71AB">
            <w:pPr>
              <w:spacing w:after="0" w:line="240"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Tiếp thu</w:t>
            </w:r>
          </w:p>
          <w:p w14:paraId="7C66EF92" w14:textId="77777777" w:rsidR="0043127B" w:rsidRDefault="0043127B" w:rsidP="00BE71AB">
            <w:pPr>
              <w:spacing w:after="0" w:line="240" w:lineRule="auto"/>
              <w:jc w:val="both"/>
              <w:rPr>
                <w:rFonts w:ascii="Times New Roman" w:hAnsi="Times New Roman"/>
                <w:color w:val="000000" w:themeColor="text1"/>
                <w:sz w:val="24"/>
                <w:szCs w:val="24"/>
                <w:lang w:val="en-US"/>
              </w:rPr>
            </w:pPr>
          </w:p>
          <w:p w14:paraId="375D615E" w14:textId="77777777" w:rsidR="0043127B" w:rsidRDefault="0043127B" w:rsidP="00BE71AB">
            <w:pPr>
              <w:spacing w:after="0" w:line="240" w:lineRule="auto"/>
              <w:jc w:val="both"/>
              <w:rPr>
                <w:rFonts w:ascii="Times New Roman" w:hAnsi="Times New Roman"/>
                <w:color w:val="000000" w:themeColor="text1"/>
                <w:sz w:val="24"/>
                <w:szCs w:val="24"/>
                <w:lang w:val="en-US"/>
              </w:rPr>
            </w:pPr>
          </w:p>
          <w:p w14:paraId="5DFDA088" w14:textId="53B3E4CD" w:rsidR="0043127B" w:rsidRPr="0043127B" w:rsidRDefault="0043127B" w:rsidP="00BE71AB">
            <w:pPr>
              <w:spacing w:after="0" w:line="240" w:lineRule="auto"/>
              <w:jc w:val="both"/>
              <w:rPr>
                <w:rFonts w:ascii="Times New Roman" w:hAnsi="Times New Roman"/>
                <w:color w:val="000000" w:themeColor="text1"/>
                <w:sz w:val="24"/>
                <w:szCs w:val="24"/>
                <w:lang w:val="en-US"/>
              </w:rPr>
            </w:pPr>
          </w:p>
        </w:tc>
      </w:tr>
      <w:tr w:rsidR="00107A60" w:rsidRPr="00B622EC" w14:paraId="26BB62D7" w14:textId="77777777" w:rsidTr="009C3E48">
        <w:tc>
          <w:tcPr>
            <w:tcW w:w="460" w:type="pct"/>
            <w:vMerge w:val="restart"/>
            <w:shd w:val="clear" w:color="auto" w:fill="auto"/>
            <w:vAlign w:val="center"/>
          </w:tcPr>
          <w:p w14:paraId="5FEB91C9" w14:textId="77777777" w:rsidR="00107A60" w:rsidRPr="00B622EC" w:rsidRDefault="00107A60" w:rsidP="00BE71AB">
            <w:pPr>
              <w:spacing w:after="0" w:line="240" w:lineRule="auto"/>
              <w:jc w:val="center"/>
              <w:rPr>
                <w:rFonts w:ascii="Times New Roman" w:hAnsi="Times New Roman"/>
                <w:b/>
                <w:color w:val="000000" w:themeColor="text1"/>
                <w:sz w:val="24"/>
                <w:szCs w:val="24"/>
              </w:rPr>
            </w:pPr>
          </w:p>
          <w:p w14:paraId="6D04C4AE" w14:textId="0BD75BDB" w:rsidR="00107A60" w:rsidRPr="00B622EC" w:rsidRDefault="00107A60" w:rsidP="00BE71AB">
            <w:pPr>
              <w:spacing w:after="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t>Quy định chuyển tiếp</w:t>
            </w:r>
          </w:p>
        </w:tc>
        <w:tc>
          <w:tcPr>
            <w:tcW w:w="842" w:type="pct"/>
            <w:shd w:val="clear" w:color="auto" w:fill="auto"/>
            <w:vAlign w:val="center"/>
          </w:tcPr>
          <w:p w14:paraId="6AFA270B" w14:textId="2DF3BC41" w:rsidR="00107A60" w:rsidRPr="00B622EC" w:rsidRDefault="00107A60" w:rsidP="00BE71AB">
            <w:pPr>
              <w:spacing w:after="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t>Bộ Giáo dục và Đào tạo</w:t>
            </w:r>
          </w:p>
        </w:tc>
        <w:tc>
          <w:tcPr>
            <w:tcW w:w="2362" w:type="pct"/>
            <w:shd w:val="clear" w:color="auto" w:fill="auto"/>
            <w:vAlign w:val="center"/>
          </w:tcPr>
          <w:p w14:paraId="19B8B720" w14:textId="6E502779" w:rsidR="00107A60" w:rsidRPr="00B622EC" w:rsidRDefault="00107A60" w:rsidP="00BE71AB">
            <w:pPr>
              <w:tabs>
                <w:tab w:val="left" w:pos="308"/>
              </w:tabs>
              <w:spacing w:after="0" w:line="240" w:lineRule="auto"/>
              <w:ind w:left="24"/>
              <w:jc w:val="both"/>
              <w:rPr>
                <w:rFonts w:ascii="Times New Roman" w:hAnsi="Times New Roman"/>
                <w:color w:val="000000" w:themeColor="text1"/>
                <w:sz w:val="24"/>
                <w:szCs w:val="24"/>
              </w:rPr>
            </w:pPr>
            <w:r w:rsidRPr="00B622EC">
              <w:rPr>
                <w:rFonts w:ascii="Times New Roman" w:hAnsi="Times New Roman"/>
                <w:color w:val="000000" w:themeColor="text1"/>
                <w:sz w:val="24"/>
                <w:szCs w:val="24"/>
              </w:rPr>
              <w:t xml:space="preserve">Đề nghị thống nhất nguyên tắc chung về định mức, chi phí, nghĩa vụ hoàn trả chi phí cho nhà đầu tư của cơ quan có thẩm quyền </w:t>
            </w:r>
            <w:r w:rsidRPr="00B622EC">
              <w:rPr>
                <w:rFonts w:ascii="Times New Roman" w:hAnsi="Times New Roman"/>
                <w:color w:val="000000" w:themeColor="text1"/>
                <w:sz w:val="24"/>
                <w:szCs w:val="24"/>
                <w:lang w:val="en-US"/>
              </w:rPr>
              <w:t xml:space="preserve">trong trường hợp </w:t>
            </w:r>
            <w:r w:rsidRPr="00B622EC">
              <w:rPr>
                <w:rFonts w:ascii="Times New Roman" w:hAnsi="Times New Roman"/>
                <w:iCs/>
                <w:color w:val="000000" w:themeColor="text1"/>
                <w:sz w:val="24"/>
                <w:szCs w:val="24"/>
              </w:rPr>
              <w:t>dự án đầu tư do nhà đầu tư đề xuất nhưng không trúng thầu hoặc phải dừng thực hiện</w:t>
            </w:r>
            <w:r w:rsidRPr="00B622EC">
              <w:rPr>
                <w:rFonts w:ascii="Times New Roman" w:hAnsi="Times New Roman"/>
                <w:color w:val="000000" w:themeColor="text1"/>
                <w:sz w:val="24"/>
                <w:szCs w:val="24"/>
              </w:rPr>
              <w:t xml:space="preserve"> (đề nghị không quy định PA1 hay PA2 như dự thảo).</w:t>
            </w:r>
          </w:p>
        </w:tc>
        <w:tc>
          <w:tcPr>
            <w:tcW w:w="1336" w:type="pct"/>
            <w:vMerge w:val="restart"/>
            <w:shd w:val="clear" w:color="auto" w:fill="auto"/>
            <w:vAlign w:val="center"/>
          </w:tcPr>
          <w:p w14:paraId="5E561047" w14:textId="07F9A4B2" w:rsidR="00107A60" w:rsidRPr="00932C51" w:rsidRDefault="00107A60" w:rsidP="00932C51">
            <w:pPr>
              <w:spacing w:after="120" w:line="360" w:lineRule="exact"/>
              <w:jc w:val="both"/>
              <w:rPr>
                <w:rFonts w:ascii="Times New Roman" w:hAnsi="Times New Roman"/>
                <w:iCs/>
                <w:color w:val="000000" w:themeColor="text1"/>
                <w:sz w:val="24"/>
                <w:szCs w:val="24"/>
              </w:rPr>
            </w:pPr>
            <w:r w:rsidRPr="00107A60">
              <w:rPr>
                <w:rFonts w:ascii="Times New Roman" w:hAnsi="Times New Roman"/>
                <w:iCs/>
                <w:color w:val="000000" w:themeColor="text1"/>
                <w:sz w:val="24"/>
                <w:szCs w:val="24"/>
              </w:rPr>
              <w:t xml:space="preserve">Dự thảo quy định theo hướng đối với dự án PPP do nhà đầu tư đề xuất mà không thuộc lĩnh vực đầu tư hoặc dưới hạn mức đầu tư quy định tại Luật và phải dừng thực hiện, Dự thảo Nghị định quy định chuyển tiếp theo hướng “Nhà đầu tư đề xuất dự án chịu mọi rủi ro, chi phí đã chi trả; trừ </w:t>
            </w:r>
            <w:r w:rsidRPr="00107A60">
              <w:rPr>
                <w:rFonts w:ascii="Times New Roman" w:hAnsi="Times New Roman"/>
                <w:iCs/>
                <w:color w:val="000000" w:themeColor="text1"/>
                <w:sz w:val="24"/>
                <w:szCs w:val="24"/>
              </w:rPr>
              <w:lastRenderedPageBreak/>
              <w:t xml:space="preserve">trường hợp thỏa thuận khác giữa cơ quan nhà nước có thẩm quyền và nhà đầu tư”. </w:t>
            </w:r>
          </w:p>
        </w:tc>
      </w:tr>
      <w:tr w:rsidR="00107A60" w:rsidRPr="00B622EC" w14:paraId="0543E4DD" w14:textId="77777777" w:rsidTr="009C3E48">
        <w:tc>
          <w:tcPr>
            <w:tcW w:w="460" w:type="pct"/>
            <w:vMerge/>
            <w:shd w:val="clear" w:color="auto" w:fill="auto"/>
            <w:vAlign w:val="center"/>
          </w:tcPr>
          <w:p w14:paraId="74942258" w14:textId="77777777" w:rsidR="00107A60" w:rsidRPr="00B622EC" w:rsidRDefault="00107A60"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71F67B97" w14:textId="5CFA4D7A" w:rsidR="00107A60" w:rsidRPr="00196BA3" w:rsidRDefault="00107A60" w:rsidP="00BE71AB">
            <w:pPr>
              <w:spacing w:after="0" w:line="240" w:lineRule="auto"/>
              <w:jc w:val="center"/>
              <w:rPr>
                <w:rFonts w:ascii="Times New Roman" w:hAnsi="Times New Roman"/>
                <w:b/>
                <w:color w:val="000000" w:themeColor="text1"/>
                <w:sz w:val="24"/>
                <w:szCs w:val="24"/>
              </w:rPr>
            </w:pPr>
            <w:r w:rsidRPr="00196BA3">
              <w:rPr>
                <w:rFonts w:ascii="Times New Roman" w:hAnsi="Times New Roman"/>
                <w:b/>
                <w:color w:val="000000" w:themeColor="text1"/>
                <w:sz w:val="24"/>
                <w:szCs w:val="24"/>
              </w:rPr>
              <w:t>Lai Châu, Nam Định,</w:t>
            </w:r>
            <w:r w:rsidRPr="00B622EC">
              <w:rPr>
                <w:rFonts w:ascii="Times New Roman" w:hAnsi="Times New Roman"/>
                <w:b/>
                <w:color w:val="000000" w:themeColor="text1"/>
                <w:sz w:val="24"/>
                <w:szCs w:val="24"/>
              </w:rPr>
              <w:t xml:space="preserve"> </w:t>
            </w:r>
            <w:r w:rsidRPr="0067599F">
              <w:rPr>
                <w:rFonts w:ascii="Times New Roman" w:hAnsi="Times New Roman"/>
                <w:b/>
                <w:color w:val="000000" w:themeColor="text1"/>
                <w:sz w:val="24"/>
                <w:szCs w:val="24"/>
              </w:rPr>
              <w:t>Đồng Tháp, Bắc Ninh,</w:t>
            </w:r>
            <w:r w:rsidRPr="00B622EC">
              <w:rPr>
                <w:rFonts w:ascii="Times New Roman" w:hAnsi="Times New Roman"/>
                <w:b/>
                <w:color w:val="000000" w:themeColor="text1"/>
                <w:sz w:val="24"/>
                <w:szCs w:val="24"/>
              </w:rPr>
              <w:t xml:space="preserve"> </w:t>
            </w:r>
            <w:r w:rsidRPr="0067599F">
              <w:rPr>
                <w:rFonts w:ascii="Times New Roman" w:hAnsi="Times New Roman"/>
                <w:b/>
                <w:color w:val="000000" w:themeColor="text1"/>
                <w:sz w:val="24"/>
                <w:szCs w:val="24"/>
              </w:rPr>
              <w:t>Hà Nam, Cao Bằng,</w:t>
            </w:r>
            <w:r w:rsidRPr="00935155">
              <w:rPr>
                <w:rFonts w:ascii="Times New Roman" w:hAnsi="Times New Roman"/>
                <w:b/>
                <w:color w:val="000000" w:themeColor="text1"/>
                <w:sz w:val="24"/>
                <w:szCs w:val="24"/>
              </w:rPr>
              <w:t xml:space="preserve"> Quảng Ninh, Phú Yên,</w:t>
            </w:r>
            <w:r w:rsidRPr="0067599F">
              <w:rPr>
                <w:rFonts w:ascii="Times New Roman" w:hAnsi="Times New Roman"/>
                <w:b/>
                <w:color w:val="000000" w:themeColor="text1"/>
                <w:sz w:val="24"/>
                <w:szCs w:val="24"/>
              </w:rPr>
              <w:t xml:space="preserve"> </w:t>
            </w:r>
            <w:r w:rsidRPr="003377D2">
              <w:rPr>
                <w:rFonts w:ascii="Times New Roman" w:hAnsi="Times New Roman"/>
                <w:b/>
                <w:color w:val="000000" w:themeColor="text1"/>
                <w:sz w:val="24"/>
                <w:szCs w:val="24"/>
              </w:rPr>
              <w:t xml:space="preserve">Cà Mau, </w:t>
            </w:r>
            <w:r w:rsidRPr="00B622EC">
              <w:rPr>
                <w:rFonts w:ascii="Times New Roman" w:hAnsi="Times New Roman"/>
                <w:b/>
                <w:color w:val="000000" w:themeColor="text1"/>
                <w:sz w:val="24"/>
                <w:szCs w:val="24"/>
              </w:rPr>
              <w:t>Công ty CP định giá và dịch vụ tài chính Việt Nam VVFC</w:t>
            </w:r>
          </w:p>
        </w:tc>
        <w:tc>
          <w:tcPr>
            <w:tcW w:w="2362" w:type="pct"/>
            <w:shd w:val="clear" w:color="auto" w:fill="auto"/>
            <w:vAlign w:val="center"/>
          </w:tcPr>
          <w:p w14:paraId="17F046EB" w14:textId="22A3D53D" w:rsidR="00107A60" w:rsidRPr="00B622EC" w:rsidRDefault="00107A60" w:rsidP="0043127B">
            <w:pPr>
              <w:tabs>
                <w:tab w:val="left" w:pos="308"/>
              </w:tabs>
              <w:spacing w:after="0" w:line="240" w:lineRule="auto"/>
              <w:ind w:left="24"/>
              <w:jc w:val="both"/>
              <w:rPr>
                <w:rFonts w:ascii="Times New Roman" w:hAnsi="Times New Roman"/>
                <w:color w:val="000000" w:themeColor="text1"/>
                <w:sz w:val="24"/>
                <w:szCs w:val="24"/>
              </w:rPr>
            </w:pPr>
            <w:r w:rsidRPr="00354A04">
              <w:rPr>
                <w:rFonts w:ascii="Times New Roman" w:hAnsi="Times New Roman"/>
                <w:iCs/>
                <w:color w:val="000000" w:themeColor="text1"/>
                <w:sz w:val="24"/>
                <w:szCs w:val="24"/>
              </w:rPr>
              <w:t>Đối với dự án PPP do nhà đầu tư đề xuất phải dừng thực hiện</w:t>
            </w:r>
            <w:r w:rsidRPr="00354A04">
              <w:rPr>
                <w:rFonts w:ascii="Times New Roman" w:hAnsi="Times New Roman"/>
                <w:color w:val="000000" w:themeColor="text1"/>
                <w:sz w:val="24"/>
                <w:szCs w:val="24"/>
              </w:rPr>
              <w:t xml:space="preserve">, kiến nghị chọn phương án 1 như sau: “Nhà đầu tư đề xuất dự án chịu mọi rủi ro, chi phí đã chi trả; trừ trường hợp các văn bản thỏa thuận giữa cơ quan nhà nước có thẩm quyền và nhà đầu tư có điều khoản Nhà nước phải hoàn trả toàn bộ chi phí này” </w:t>
            </w:r>
          </w:p>
        </w:tc>
        <w:tc>
          <w:tcPr>
            <w:tcW w:w="1336" w:type="pct"/>
            <w:vMerge/>
            <w:shd w:val="clear" w:color="auto" w:fill="auto"/>
            <w:vAlign w:val="center"/>
          </w:tcPr>
          <w:p w14:paraId="77DD70F8" w14:textId="68374C4E" w:rsidR="00107A60" w:rsidRPr="00B622EC" w:rsidRDefault="00107A60" w:rsidP="00BE71AB">
            <w:pPr>
              <w:spacing w:after="0" w:line="240" w:lineRule="auto"/>
              <w:jc w:val="both"/>
              <w:rPr>
                <w:rFonts w:ascii="Times New Roman" w:hAnsi="Times New Roman"/>
                <w:b/>
                <w:color w:val="000000" w:themeColor="text1"/>
                <w:sz w:val="24"/>
                <w:szCs w:val="24"/>
              </w:rPr>
            </w:pPr>
          </w:p>
        </w:tc>
      </w:tr>
      <w:tr w:rsidR="00107A60" w:rsidRPr="00B622EC" w14:paraId="17B7F7AF" w14:textId="77777777" w:rsidTr="00932C51">
        <w:trPr>
          <w:trHeight w:val="4236"/>
        </w:trPr>
        <w:tc>
          <w:tcPr>
            <w:tcW w:w="460" w:type="pct"/>
            <w:vMerge/>
            <w:shd w:val="clear" w:color="auto" w:fill="auto"/>
            <w:vAlign w:val="center"/>
          </w:tcPr>
          <w:p w14:paraId="4E7C0A48" w14:textId="77777777" w:rsidR="00107A60" w:rsidRPr="00B622EC" w:rsidRDefault="00107A60" w:rsidP="00BE71AB">
            <w:pPr>
              <w:spacing w:after="0" w:line="240" w:lineRule="auto"/>
              <w:jc w:val="center"/>
              <w:rPr>
                <w:rFonts w:ascii="Times New Roman" w:hAnsi="Times New Roman"/>
                <w:b/>
                <w:color w:val="000000" w:themeColor="text1"/>
                <w:sz w:val="24"/>
                <w:szCs w:val="24"/>
              </w:rPr>
            </w:pPr>
          </w:p>
        </w:tc>
        <w:tc>
          <w:tcPr>
            <w:tcW w:w="842" w:type="pct"/>
            <w:shd w:val="clear" w:color="auto" w:fill="auto"/>
            <w:vAlign w:val="center"/>
          </w:tcPr>
          <w:p w14:paraId="724E0744" w14:textId="77777777" w:rsidR="00107A60" w:rsidRDefault="00107A60" w:rsidP="00196BA3">
            <w:pPr>
              <w:spacing w:after="0" w:line="240" w:lineRule="auto"/>
              <w:jc w:val="center"/>
              <w:rPr>
                <w:rFonts w:ascii="Times New Roman" w:hAnsi="Times New Roman"/>
                <w:b/>
                <w:color w:val="000000" w:themeColor="text1"/>
                <w:sz w:val="24"/>
                <w:szCs w:val="24"/>
              </w:rPr>
            </w:pPr>
            <w:r w:rsidRPr="0043127B">
              <w:rPr>
                <w:rFonts w:ascii="Times New Roman" w:hAnsi="Times New Roman"/>
                <w:b/>
                <w:color w:val="000000" w:themeColor="text1"/>
                <w:sz w:val="24"/>
                <w:szCs w:val="24"/>
              </w:rPr>
              <w:t xml:space="preserve">Bộ Quốc phòng, </w:t>
            </w:r>
            <w:r w:rsidRPr="00196BA3">
              <w:rPr>
                <w:rFonts w:ascii="Times New Roman" w:hAnsi="Times New Roman"/>
                <w:b/>
                <w:color w:val="000000" w:themeColor="text1"/>
                <w:sz w:val="24"/>
                <w:szCs w:val="24"/>
              </w:rPr>
              <w:t>Bộ Thông tin và truyền thông</w:t>
            </w:r>
            <w:r w:rsidRPr="0067599F">
              <w:rPr>
                <w:rFonts w:ascii="Times New Roman" w:hAnsi="Times New Roman"/>
                <w:b/>
                <w:color w:val="000000" w:themeColor="text1"/>
                <w:sz w:val="24"/>
                <w:szCs w:val="24"/>
              </w:rPr>
              <w:t>,</w:t>
            </w:r>
            <w:r w:rsidRPr="0043127B">
              <w:rPr>
                <w:rFonts w:ascii="Times New Roman" w:hAnsi="Times New Roman"/>
                <w:b/>
                <w:color w:val="000000" w:themeColor="text1"/>
                <w:sz w:val="24"/>
                <w:szCs w:val="24"/>
              </w:rPr>
              <w:t xml:space="preserve"> </w:t>
            </w:r>
            <w:r w:rsidRPr="0067599F">
              <w:rPr>
                <w:rFonts w:ascii="Times New Roman" w:hAnsi="Times New Roman"/>
                <w:b/>
                <w:color w:val="000000" w:themeColor="text1"/>
                <w:sz w:val="24"/>
                <w:szCs w:val="24"/>
              </w:rPr>
              <w:t>Bộ Nông nghiệp và PTNT</w:t>
            </w:r>
            <w:r>
              <w:rPr>
                <w:rFonts w:ascii="Times New Roman" w:hAnsi="Times New Roman"/>
                <w:b/>
                <w:color w:val="000000" w:themeColor="text1"/>
                <w:sz w:val="24"/>
                <w:szCs w:val="24"/>
              </w:rPr>
              <w:t>, Gia Lai, Bì</w:t>
            </w:r>
            <w:r w:rsidRPr="0067599F">
              <w:rPr>
                <w:rFonts w:ascii="Times New Roman" w:hAnsi="Times New Roman"/>
                <w:b/>
                <w:color w:val="000000" w:themeColor="text1"/>
                <w:sz w:val="24"/>
                <w:szCs w:val="24"/>
              </w:rPr>
              <w:t>nh Thuận,</w:t>
            </w:r>
            <w:r w:rsidRPr="0043127B">
              <w:rPr>
                <w:rFonts w:ascii="Times New Roman" w:hAnsi="Times New Roman"/>
                <w:b/>
                <w:color w:val="000000" w:themeColor="text1"/>
                <w:sz w:val="24"/>
                <w:szCs w:val="24"/>
              </w:rPr>
              <w:t xml:space="preserve"> Bình Định</w:t>
            </w:r>
            <w:r w:rsidRPr="00196BA3">
              <w:rPr>
                <w:rFonts w:ascii="Times New Roman" w:hAnsi="Times New Roman"/>
                <w:b/>
                <w:color w:val="000000" w:themeColor="text1"/>
                <w:sz w:val="24"/>
                <w:szCs w:val="24"/>
              </w:rPr>
              <w:t xml:space="preserve">, </w:t>
            </w:r>
            <w:r w:rsidRPr="001C124A">
              <w:rPr>
                <w:rFonts w:ascii="Times New Roman" w:hAnsi="Times New Roman"/>
                <w:b/>
                <w:color w:val="000000" w:themeColor="text1"/>
                <w:sz w:val="24"/>
                <w:szCs w:val="24"/>
              </w:rPr>
              <w:t xml:space="preserve">Nghệ An, </w:t>
            </w:r>
            <w:r w:rsidRPr="0052615D">
              <w:rPr>
                <w:rFonts w:ascii="Times New Roman" w:hAnsi="Times New Roman"/>
                <w:b/>
                <w:color w:val="000000" w:themeColor="text1"/>
                <w:sz w:val="24"/>
                <w:szCs w:val="24"/>
              </w:rPr>
              <w:t xml:space="preserve">Lạng Sơn, </w:t>
            </w:r>
            <w:r w:rsidRPr="00B622EC">
              <w:rPr>
                <w:rFonts w:ascii="Times New Roman" w:hAnsi="Times New Roman"/>
                <w:b/>
                <w:color w:val="000000" w:themeColor="text1"/>
                <w:sz w:val="24"/>
                <w:szCs w:val="24"/>
              </w:rPr>
              <w:t xml:space="preserve">Quỹ phát triển DN nhỏ và vừa, Viện Chiến lược phát triển </w:t>
            </w:r>
            <w:r w:rsidRPr="0052615D">
              <w:rPr>
                <w:rFonts w:ascii="Times New Roman" w:hAnsi="Times New Roman"/>
                <w:b/>
                <w:color w:val="000000" w:themeColor="text1"/>
                <w:sz w:val="24"/>
                <w:szCs w:val="24"/>
              </w:rPr>
              <w:t xml:space="preserve">- </w:t>
            </w:r>
            <w:r w:rsidRPr="00B622EC">
              <w:rPr>
                <w:rFonts w:ascii="Times New Roman" w:hAnsi="Times New Roman"/>
                <w:b/>
                <w:color w:val="000000" w:themeColor="text1"/>
                <w:sz w:val="24"/>
                <w:szCs w:val="24"/>
              </w:rPr>
              <w:t>Bộ KH&amp;ĐT Ngân hàng phát triển Việt Nam</w:t>
            </w:r>
            <w:r w:rsidRPr="00196BA3">
              <w:rPr>
                <w:rFonts w:ascii="Times New Roman" w:hAnsi="Times New Roman"/>
                <w:b/>
                <w:color w:val="000000" w:themeColor="text1"/>
                <w:sz w:val="24"/>
                <w:szCs w:val="24"/>
              </w:rPr>
              <w:t>,</w:t>
            </w:r>
            <w:r w:rsidRPr="00B622EC">
              <w:rPr>
                <w:rFonts w:ascii="Times New Roman" w:hAnsi="Times New Roman"/>
                <w:b/>
                <w:color w:val="000000" w:themeColor="text1"/>
                <w:sz w:val="24"/>
                <w:szCs w:val="24"/>
              </w:rPr>
              <w:t xml:space="preserve"> </w:t>
            </w:r>
            <w:r w:rsidRPr="00196BA3">
              <w:rPr>
                <w:rFonts w:ascii="Times New Roman" w:hAnsi="Times New Roman"/>
                <w:b/>
                <w:color w:val="000000" w:themeColor="text1"/>
                <w:sz w:val="24"/>
                <w:szCs w:val="24"/>
              </w:rPr>
              <w:t>Ngân hàng TMCP đầu tư và phát triển Việt Nam BIDV, Công ty Thông Hiệp</w:t>
            </w:r>
          </w:p>
          <w:p w14:paraId="30D6456D" w14:textId="77777777" w:rsidR="00932C51" w:rsidRDefault="00932C51" w:rsidP="00196BA3">
            <w:pPr>
              <w:spacing w:after="0" w:line="240" w:lineRule="auto"/>
              <w:jc w:val="center"/>
              <w:rPr>
                <w:rFonts w:ascii="Times New Roman" w:hAnsi="Times New Roman"/>
                <w:b/>
                <w:color w:val="000000" w:themeColor="text1"/>
                <w:sz w:val="24"/>
                <w:szCs w:val="24"/>
              </w:rPr>
            </w:pPr>
          </w:p>
          <w:p w14:paraId="07A34E2B" w14:textId="6B0819E5" w:rsidR="00932C51" w:rsidRPr="0043127B" w:rsidRDefault="00932C51" w:rsidP="00196BA3">
            <w:pPr>
              <w:spacing w:after="0" w:line="240" w:lineRule="auto"/>
              <w:jc w:val="center"/>
              <w:rPr>
                <w:rFonts w:ascii="Times New Roman" w:hAnsi="Times New Roman"/>
                <w:b/>
                <w:color w:val="000000" w:themeColor="text1"/>
                <w:sz w:val="24"/>
                <w:szCs w:val="24"/>
              </w:rPr>
            </w:pPr>
          </w:p>
        </w:tc>
        <w:tc>
          <w:tcPr>
            <w:tcW w:w="2362" w:type="pct"/>
            <w:shd w:val="clear" w:color="auto" w:fill="auto"/>
            <w:vAlign w:val="center"/>
          </w:tcPr>
          <w:p w14:paraId="1EFA6B37" w14:textId="67C95031" w:rsidR="00107A60" w:rsidRPr="0043127B" w:rsidRDefault="00107A60" w:rsidP="0043127B">
            <w:pPr>
              <w:tabs>
                <w:tab w:val="left" w:pos="308"/>
              </w:tabs>
              <w:spacing w:after="0" w:line="240" w:lineRule="auto"/>
              <w:ind w:left="24"/>
              <w:jc w:val="both"/>
              <w:rPr>
                <w:rFonts w:ascii="Times New Roman" w:hAnsi="Times New Roman"/>
                <w:color w:val="000000" w:themeColor="text1"/>
                <w:sz w:val="24"/>
                <w:szCs w:val="24"/>
              </w:rPr>
            </w:pPr>
            <w:r w:rsidRPr="0043127B">
              <w:rPr>
                <w:rFonts w:ascii="Times New Roman" w:hAnsi="Times New Roman"/>
                <w:iCs/>
                <w:color w:val="000000" w:themeColor="text1"/>
                <w:sz w:val="24"/>
                <w:szCs w:val="24"/>
              </w:rPr>
              <w:t>Đối với dự án PPP do nhà đầu tư đề xuất phải dừng thực hiện</w:t>
            </w:r>
            <w:r w:rsidRPr="0043127B">
              <w:rPr>
                <w:rFonts w:ascii="Times New Roman" w:hAnsi="Times New Roman"/>
                <w:color w:val="000000" w:themeColor="text1"/>
                <w:sz w:val="24"/>
                <w:szCs w:val="24"/>
              </w:rPr>
              <w:t>, kiến nghị chọn Phương án 2 để bảo đảm thống nhất, bình đẳng và bảo đảm thực hiện quyền và nghĩa vụ của cơ quan nhà nước và nhà đầu tư khi tham gia dự án PPP.</w:t>
            </w:r>
          </w:p>
        </w:tc>
        <w:tc>
          <w:tcPr>
            <w:tcW w:w="1336" w:type="pct"/>
            <w:vMerge/>
            <w:shd w:val="clear" w:color="auto" w:fill="auto"/>
            <w:vAlign w:val="center"/>
          </w:tcPr>
          <w:p w14:paraId="07EFDB2D" w14:textId="77777777" w:rsidR="00107A60" w:rsidRPr="00B622EC" w:rsidRDefault="00107A60" w:rsidP="00BE71AB">
            <w:pPr>
              <w:spacing w:after="0" w:line="240" w:lineRule="auto"/>
              <w:jc w:val="both"/>
              <w:rPr>
                <w:rFonts w:ascii="Times New Roman" w:hAnsi="Times New Roman"/>
                <w:b/>
                <w:color w:val="000000" w:themeColor="text1"/>
                <w:sz w:val="24"/>
                <w:szCs w:val="24"/>
              </w:rPr>
            </w:pPr>
          </w:p>
        </w:tc>
      </w:tr>
      <w:tr w:rsidR="00BE71AB" w:rsidRPr="00B622EC" w14:paraId="5B9F5D9E" w14:textId="77777777" w:rsidTr="009C3E48">
        <w:tc>
          <w:tcPr>
            <w:tcW w:w="460" w:type="pct"/>
            <w:vMerge/>
            <w:shd w:val="clear" w:color="auto" w:fill="auto"/>
            <w:vAlign w:val="center"/>
          </w:tcPr>
          <w:p w14:paraId="4D954903" w14:textId="77777777" w:rsidR="00BE71AB" w:rsidRPr="00B622EC" w:rsidRDefault="00BE71AB" w:rsidP="00BE71AB">
            <w:pPr>
              <w:spacing w:after="0" w:line="240" w:lineRule="auto"/>
              <w:jc w:val="center"/>
              <w:rPr>
                <w:rFonts w:ascii="Times New Roman" w:hAnsi="Times New Roman"/>
                <w:b/>
                <w:color w:val="000000" w:themeColor="text1"/>
                <w:sz w:val="24"/>
                <w:szCs w:val="24"/>
              </w:rPr>
            </w:pPr>
          </w:p>
        </w:tc>
        <w:tc>
          <w:tcPr>
            <w:tcW w:w="842" w:type="pct"/>
            <w:shd w:val="clear" w:color="auto" w:fill="auto"/>
          </w:tcPr>
          <w:p w14:paraId="731ECF14" w14:textId="1B958A61" w:rsidR="00BE71AB" w:rsidRPr="00B622EC" w:rsidRDefault="00BE71AB" w:rsidP="00BE71AB">
            <w:pPr>
              <w:spacing w:after="0" w:line="240" w:lineRule="auto"/>
              <w:jc w:val="center"/>
              <w:rPr>
                <w:rFonts w:ascii="Times New Roman" w:hAnsi="Times New Roman"/>
                <w:b/>
                <w:color w:val="000000" w:themeColor="text1"/>
                <w:sz w:val="24"/>
                <w:szCs w:val="24"/>
              </w:rPr>
            </w:pPr>
            <w:r w:rsidRPr="00B622EC">
              <w:rPr>
                <w:rFonts w:ascii="Times New Roman" w:hAnsi="Times New Roman"/>
                <w:b/>
                <w:color w:val="000000" w:themeColor="text1"/>
                <w:sz w:val="24"/>
                <w:szCs w:val="24"/>
              </w:rPr>
              <w:t>Công ty TNHH TMDVKS Tân Hoàng Minh</w:t>
            </w:r>
          </w:p>
        </w:tc>
        <w:tc>
          <w:tcPr>
            <w:tcW w:w="2362" w:type="pct"/>
            <w:shd w:val="clear" w:color="auto" w:fill="auto"/>
          </w:tcPr>
          <w:p w14:paraId="7FFB2E0B" w14:textId="27CB42B6" w:rsidR="00BE71AB" w:rsidRPr="00196BA3" w:rsidRDefault="00196BA3" w:rsidP="00196BA3">
            <w:pPr>
              <w:pStyle w:val="BodyText"/>
              <w:spacing w:before="0"/>
              <w:rPr>
                <w:rFonts w:ascii="Times New Roman" w:hAnsi="Times New Roman"/>
                <w:color w:val="000000" w:themeColor="text1"/>
                <w:sz w:val="24"/>
                <w:szCs w:val="24"/>
                <w:lang w:val="vi-VN"/>
              </w:rPr>
            </w:pPr>
            <w:r w:rsidRPr="00196BA3">
              <w:rPr>
                <w:rFonts w:asciiTheme="majorHAnsi" w:hAnsiTheme="majorHAnsi" w:cstheme="majorHAnsi"/>
                <w:color w:val="000000"/>
                <w:sz w:val="24"/>
                <w:szCs w:val="24"/>
                <w:lang w:val="vi-VN" w:eastAsia="vi-VN" w:bidi="vi-VN"/>
              </w:rPr>
              <w:t>K</w:t>
            </w:r>
            <w:r w:rsidR="00BE71AB" w:rsidRPr="00B622EC">
              <w:rPr>
                <w:rFonts w:asciiTheme="majorHAnsi" w:hAnsiTheme="majorHAnsi" w:cstheme="majorHAnsi"/>
                <w:color w:val="000000"/>
                <w:sz w:val="24"/>
                <w:szCs w:val="24"/>
                <w:lang w:val="vi-VN" w:eastAsia="vi-VN" w:bidi="vi-VN"/>
              </w:rPr>
              <w:t xml:space="preserve">iến nghị bổ sung </w:t>
            </w:r>
            <w:r w:rsidRPr="00196BA3">
              <w:rPr>
                <w:rFonts w:asciiTheme="majorHAnsi" w:hAnsiTheme="majorHAnsi" w:cstheme="majorHAnsi"/>
                <w:color w:val="000000"/>
                <w:sz w:val="24"/>
                <w:szCs w:val="24"/>
                <w:lang w:val="vi-VN" w:eastAsia="vi-VN" w:bidi="vi-VN"/>
              </w:rPr>
              <w:t>khoản</w:t>
            </w:r>
            <w:r>
              <w:rPr>
                <w:rFonts w:asciiTheme="majorHAnsi" w:hAnsiTheme="majorHAnsi" w:cstheme="majorHAnsi"/>
                <w:color w:val="000000"/>
                <w:sz w:val="24"/>
                <w:szCs w:val="24"/>
                <w:lang w:val="vi-VN" w:eastAsia="vi-VN" w:bidi="vi-VN"/>
              </w:rPr>
              <w:t xml:space="preserve">: </w:t>
            </w:r>
            <w:r>
              <w:rPr>
                <w:rFonts w:asciiTheme="majorHAnsi" w:hAnsiTheme="majorHAnsi" w:cstheme="majorHAnsi"/>
                <w:iCs/>
                <w:color w:val="000000"/>
                <w:sz w:val="24"/>
                <w:szCs w:val="24"/>
                <w:lang w:eastAsia="vi-VN" w:bidi="vi-VN"/>
              </w:rPr>
              <w:t>“Đố</w:t>
            </w:r>
            <w:r w:rsidR="00BE71AB" w:rsidRPr="00B622EC">
              <w:rPr>
                <w:rFonts w:asciiTheme="majorHAnsi" w:hAnsiTheme="majorHAnsi" w:cstheme="majorHAnsi"/>
                <w:iCs/>
                <w:color w:val="000000"/>
                <w:sz w:val="24"/>
                <w:szCs w:val="24"/>
                <w:lang w:eastAsia="vi-VN" w:bidi="vi-VN"/>
              </w:rPr>
              <w:t>i với các Dự án áp dụng loại hợp đồng BT đã có kết quả lựa chọn Nhà đầu tư (bao gồm cả hình thức đẩu t</w:t>
            </w:r>
            <w:r>
              <w:rPr>
                <w:rFonts w:asciiTheme="majorHAnsi" w:hAnsiTheme="majorHAnsi" w:cstheme="majorHAnsi"/>
                <w:iCs/>
                <w:color w:val="000000"/>
                <w:sz w:val="24"/>
                <w:szCs w:val="24"/>
                <w:lang w:eastAsia="vi-VN" w:bidi="vi-VN"/>
              </w:rPr>
              <w:t>hầu rộng rãi hoặc chỉ định thầu tạ</w:t>
            </w:r>
            <w:r w:rsidR="00BE71AB" w:rsidRPr="00B622EC">
              <w:rPr>
                <w:rFonts w:asciiTheme="majorHAnsi" w:hAnsiTheme="majorHAnsi" w:cstheme="majorHAnsi"/>
                <w:iCs/>
                <w:color w:val="000000"/>
                <w:sz w:val="24"/>
                <w:szCs w:val="24"/>
                <w:lang w:eastAsia="vi-VN" w:bidi="vi-VN"/>
              </w:rPr>
              <w:t>i mục b, khoàn 5, Điều 101 Luật đầu tư theo phươn</w:t>
            </w:r>
            <w:r>
              <w:rPr>
                <w:rFonts w:asciiTheme="majorHAnsi" w:hAnsiTheme="majorHAnsi" w:cstheme="majorHAnsi"/>
                <w:iCs/>
                <w:color w:val="000000"/>
                <w:sz w:val="24"/>
                <w:szCs w:val="24"/>
                <w:lang w:eastAsia="vi-VN" w:bidi="vi-VN"/>
              </w:rPr>
              <w:t>g thức đối tác cồng tư trước ngà</w:t>
            </w:r>
            <w:r w:rsidR="00BE71AB" w:rsidRPr="00B622EC">
              <w:rPr>
                <w:rFonts w:asciiTheme="majorHAnsi" w:hAnsiTheme="majorHAnsi" w:cstheme="majorHAnsi"/>
                <w:iCs/>
                <w:color w:val="000000"/>
                <w:sz w:val="24"/>
                <w:szCs w:val="24"/>
                <w:lang w:eastAsia="vi-VN" w:bidi="vi-VN"/>
              </w:rPr>
              <w:t>y luật này có hiệu</w:t>
            </w:r>
            <w:r w:rsidRPr="00196BA3">
              <w:rPr>
                <w:rFonts w:asciiTheme="majorHAnsi" w:hAnsiTheme="majorHAnsi" w:cstheme="majorHAnsi"/>
                <w:iCs/>
                <w:color w:val="000000"/>
                <w:sz w:val="24"/>
                <w:szCs w:val="24"/>
                <w:lang w:val="vi-VN" w:eastAsia="vi-VN" w:bidi="vi-VN"/>
              </w:rPr>
              <w:t xml:space="preserve"> </w:t>
            </w:r>
            <w:r w:rsidR="00BE71AB" w:rsidRPr="00B622EC">
              <w:rPr>
                <w:rFonts w:asciiTheme="majorHAnsi" w:hAnsiTheme="majorHAnsi" w:cstheme="majorHAnsi"/>
                <w:iCs/>
                <w:color w:val="000000"/>
                <w:sz w:val="24"/>
                <w:szCs w:val="24"/>
                <w:lang w:eastAsia="vi-VN" w:bidi="vi-VN"/>
              </w:rPr>
              <w:br w:type="page"/>
            </w:r>
            <w:r>
              <w:rPr>
                <w:rFonts w:asciiTheme="majorHAnsi" w:hAnsiTheme="majorHAnsi" w:cstheme="majorHAnsi"/>
                <w:iCs/>
                <w:color w:val="000000"/>
                <w:sz w:val="24"/>
                <w:szCs w:val="24"/>
                <w:lang w:eastAsia="vi-VN" w:bidi="vi-VN"/>
              </w:rPr>
              <w:t>lực thi hành thì cơ quan ký</w:t>
            </w:r>
            <w:r w:rsidR="00BE71AB" w:rsidRPr="00B622EC">
              <w:rPr>
                <w:rFonts w:asciiTheme="majorHAnsi" w:hAnsiTheme="majorHAnsi" w:cstheme="majorHAnsi"/>
                <w:iCs/>
                <w:color w:val="000000"/>
                <w:sz w:val="24"/>
                <w:szCs w:val="24"/>
                <w:lang w:eastAsia="vi-VN" w:bidi="vi-VN"/>
              </w:rPr>
              <w:t xml:space="preserve"> hợp đồng có </w:t>
            </w:r>
            <w:r>
              <w:rPr>
                <w:rFonts w:asciiTheme="majorHAnsi" w:hAnsiTheme="majorHAnsi" w:cstheme="majorHAnsi"/>
                <w:iCs/>
                <w:color w:val="000000"/>
                <w:sz w:val="24"/>
                <w:szCs w:val="24"/>
                <w:lang w:eastAsia="vi-VN" w:bidi="vi-VN"/>
              </w:rPr>
              <w:t>trách nhiệm tổ chức đàm phản, ký</w:t>
            </w:r>
            <w:r w:rsidR="00BE71AB" w:rsidRPr="00B622EC">
              <w:rPr>
                <w:rFonts w:asciiTheme="majorHAnsi" w:hAnsiTheme="majorHAnsi" w:cstheme="majorHAnsi"/>
                <w:iCs/>
                <w:color w:val="000000"/>
                <w:sz w:val="24"/>
                <w:szCs w:val="24"/>
                <w:lang w:eastAsia="vi-VN" w:bidi="vi-VN"/>
              </w:rPr>
              <w:t xml:space="preserve"> kết hợp đồng căn cứ vào kết quả lựa chọn nhà đầu tư, hồ sơ dự thầu, hồ sơ đề xuất, hồ sơ mời thầu, hồ sơ yêu cầu và quy định cua pháp luật tai thời điếm phảt hành hồ sơ dự thầu, hổ sơ đề xuất, </w:t>
            </w:r>
            <w:r w:rsidR="0052615D">
              <w:rPr>
                <w:rFonts w:asciiTheme="majorHAnsi" w:hAnsiTheme="majorHAnsi" w:cstheme="majorHAnsi"/>
                <w:iCs/>
                <w:color w:val="000000"/>
                <w:sz w:val="24"/>
                <w:szCs w:val="24"/>
                <w:lang w:eastAsia="vi-VN" w:bidi="vi-VN"/>
              </w:rPr>
              <w:t>hồ sơ mời thầu, hồ sơ yêu cầu ”</w:t>
            </w:r>
          </w:p>
        </w:tc>
        <w:tc>
          <w:tcPr>
            <w:tcW w:w="1336" w:type="pct"/>
            <w:shd w:val="clear" w:color="auto" w:fill="auto"/>
            <w:vAlign w:val="center"/>
          </w:tcPr>
          <w:p w14:paraId="62225EE5" w14:textId="2357F429" w:rsidR="00196BA3" w:rsidRPr="00196BA3" w:rsidRDefault="00196BA3" w:rsidP="00BE71AB">
            <w:pPr>
              <w:spacing w:after="0" w:line="240" w:lineRule="auto"/>
              <w:jc w:val="both"/>
              <w:rPr>
                <w:rFonts w:ascii="Times New Roman" w:hAnsi="Times New Roman"/>
                <w:color w:val="000000" w:themeColor="text1"/>
                <w:sz w:val="24"/>
                <w:szCs w:val="24"/>
                <w:lang w:val="en-US"/>
              </w:rPr>
            </w:pPr>
            <w:r w:rsidRPr="00196BA3">
              <w:rPr>
                <w:rFonts w:ascii="Times New Roman" w:hAnsi="Times New Roman"/>
                <w:color w:val="000000" w:themeColor="text1"/>
                <w:sz w:val="24"/>
                <w:szCs w:val="24"/>
                <w:lang w:val="en-US"/>
              </w:rPr>
              <w:t>Không tiếp thu</w:t>
            </w:r>
          </w:p>
        </w:tc>
      </w:tr>
      <w:tr w:rsidR="00BE71AB" w:rsidRPr="00B622EC" w14:paraId="07C4B388" w14:textId="77777777" w:rsidTr="009C3E48">
        <w:tc>
          <w:tcPr>
            <w:tcW w:w="460" w:type="pct"/>
            <w:vMerge/>
            <w:shd w:val="clear" w:color="auto" w:fill="auto"/>
            <w:vAlign w:val="center"/>
          </w:tcPr>
          <w:p w14:paraId="0FFFB382" w14:textId="77777777" w:rsidR="00BE71AB" w:rsidRPr="00B622EC" w:rsidRDefault="00BE71AB" w:rsidP="00BE71AB">
            <w:pPr>
              <w:spacing w:after="0" w:line="240" w:lineRule="auto"/>
              <w:jc w:val="center"/>
              <w:rPr>
                <w:rFonts w:ascii="Times New Roman" w:hAnsi="Times New Roman"/>
                <w:b/>
                <w:color w:val="000000" w:themeColor="text1"/>
                <w:sz w:val="24"/>
                <w:szCs w:val="24"/>
                <w:lang w:val="en-US"/>
              </w:rPr>
            </w:pPr>
          </w:p>
        </w:tc>
        <w:tc>
          <w:tcPr>
            <w:tcW w:w="842" w:type="pct"/>
            <w:shd w:val="clear" w:color="auto" w:fill="auto"/>
            <w:vAlign w:val="center"/>
          </w:tcPr>
          <w:p w14:paraId="5F964BA8" w14:textId="6C3320F0" w:rsidR="00BE71AB" w:rsidRPr="00B622EC" w:rsidRDefault="00BE71AB" w:rsidP="00BE71AB">
            <w:pPr>
              <w:spacing w:after="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t>Lạng Sơn</w:t>
            </w:r>
          </w:p>
        </w:tc>
        <w:tc>
          <w:tcPr>
            <w:tcW w:w="2362" w:type="pct"/>
            <w:shd w:val="clear" w:color="auto" w:fill="auto"/>
            <w:vAlign w:val="center"/>
          </w:tcPr>
          <w:p w14:paraId="23E1462C" w14:textId="009BA7CE" w:rsidR="00BE71AB" w:rsidRPr="00B622EC" w:rsidRDefault="00BE71AB" w:rsidP="0052615D">
            <w:pPr>
              <w:tabs>
                <w:tab w:val="left" w:pos="308"/>
              </w:tabs>
              <w:spacing w:after="0" w:line="240" w:lineRule="auto"/>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 xml:space="preserve">Đề nghị bổ sung thêm quy định chuyển tiếp trong trường hợp </w:t>
            </w:r>
            <w:r w:rsidR="0052615D" w:rsidRPr="00B622EC">
              <w:rPr>
                <w:rFonts w:ascii="Times New Roman" w:hAnsi="Times New Roman"/>
                <w:color w:val="000000" w:themeColor="text1"/>
                <w:sz w:val="24"/>
                <w:szCs w:val="24"/>
                <w:lang w:val="en-US"/>
              </w:rPr>
              <w:t xml:space="preserve">cấp có thẩm quyền quyết định chủ trương dự án chuyển tiếp theo quy định cũ (theo Nghị định số 15/2015/NĐ-CP, Nghị định số 63/2018/NĐ-CP) có thay đổi so với Luật PPP hiện hành </w:t>
            </w:r>
            <w:r w:rsidRPr="00B622EC">
              <w:rPr>
                <w:rFonts w:ascii="Times New Roman" w:hAnsi="Times New Roman"/>
                <w:color w:val="000000" w:themeColor="text1"/>
                <w:sz w:val="24"/>
                <w:szCs w:val="24"/>
                <w:lang w:val="en-US"/>
              </w:rPr>
              <w:t>này.</w:t>
            </w:r>
          </w:p>
        </w:tc>
        <w:tc>
          <w:tcPr>
            <w:tcW w:w="1336" w:type="pct"/>
            <w:shd w:val="clear" w:color="auto" w:fill="auto"/>
            <w:vAlign w:val="center"/>
          </w:tcPr>
          <w:p w14:paraId="2372E528" w14:textId="77777777" w:rsidR="00BE71AB" w:rsidRDefault="00177087" w:rsidP="00BE71AB">
            <w:pPr>
              <w:spacing w:after="0" w:line="240" w:lineRule="auto"/>
              <w:jc w:val="both"/>
              <w:rPr>
                <w:rFonts w:ascii="Times New Roman" w:hAnsi="Times New Roman"/>
                <w:color w:val="000000" w:themeColor="text1"/>
                <w:sz w:val="24"/>
                <w:szCs w:val="24"/>
                <w:lang w:val="en-US"/>
              </w:rPr>
            </w:pPr>
            <w:r w:rsidRPr="00177087">
              <w:rPr>
                <w:rFonts w:ascii="Times New Roman" w:hAnsi="Times New Roman"/>
                <w:color w:val="000000" w:themeColor="text1"/>
                <w:sz w:val="24"/>
                <w:szCs w:val="24"/>
                <w:lang w:val="en-US"/>
              </w:rPr>
              <w:t>Các bước tiếp theo thực hiện theo quy định của Luật này</w:t>
            </w:r>
          </w:p>
          <w:p w14:paraId="62E70D12" w14:textId="77777777" w:rsidR="00177087" w:rsidRDefault="00177087" w:rsidP="00BE71AB">
            <w:pPr>
              <w:spacing w:after="0" w:line="240" w:lineRule="auto"/>
              <w:jc w:val="both"/>
              <w:rPr>
                <w:rFonts w:ascii="Times New Roman" w:hAnsi="Times New Roman"/>
                <w:color w:val="000000" w:themeColor="text1"/>
                <w:sz w:val="24"/>
                <w:szCs w:val="24"/>
                <w:lang w:val="en-US"/>
              </w:rPr>
            </w:pPr>
          </w:p>
          <w:p w14:paraId="144DCD2B" w14:textId="68BAD76B" w:rsidR="00177087" w:rsidRPr="00177087" w:rsidRDefault="00177087" w:rsidP="00BE71AB">
            <w:pPr>
              <w:spacing w:after="0" w:line="240" w:lineRule="auto"/>
              <w:jc w:val="both"/>
              <w:rPr>
                <w:rFonts w:ascii="Times New Roman" w:hAnsi="Times New Roman"/>
                <w:color w:val="000000" w:themeColor="text1"/>
                <w:sz w:val="24"/>
                <w:szCs w:val="24"/>
                <w:lang w:val="en-US"/>
              </w:rPr>
            </w:pPr>
          </w:p>
        </w:tc>
      </w:tr>
      <w:tr w:rsidR="00BE71AB" w:rsidRPr="00B622EC" w14:paraId="3D927338" w14:textId="77777777" w:rsidTr="009C3E48">
        <w:tc>
          <w:tcPr>
            <w:tcW w:w="460" w:type="pct"/>
            <w:vMerge w:val="restart"/>
            <w:shd w:val="clear" w:color="auto" w:fill="auto"/>
            <w:vAlign w:val="center"/>
          </w:tcPr>
          <w:p w14:paraId="60A72F27" w14:textId="0E34D09D" w:rsidR="00BE71AB" w:rsidRPr="00B622EC" w:rsidRDefault="00BE71AB" w:rsidP="00BE71AB">
            <w:pPr>
              <w:spacing w:after="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t>Các Phụ lục</w:t>
            </w:r>
          </w:p>
        </w:tc>
        <w:tc>
          <w:tcPr>
            <w:tcW w:w="842" w:type="pct"/>
            <w:shd w:val="clear" w:color="auto" w:fill="auto"/>
            <w:vAlign w:val="center"/>
          </w:tcPr>
          <w:p w14:paraId="08C8C47C" w14:textId="4A58700F" w:rsidR="00BE71AB" w:rsidRPr="00B622EC" w:rsidRDefault="00BE71AB" w:rsidP="00BE71AB">
            <w:pPr>
              <w:spacing w:after="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t>Thái Nguyên</w:t>
            </w:r>
          </w:p>
        </w:tc>
        <w:tc>
          <w:tcPr>
            <w:tcW w:w="2362" w:type="pct"/>
            <w:shd w:val="clear" w:color="auto" w:fill="auto"/>
            <w:vAlign w:val="center"/>
          </w:tcPr>
          <w:p w14:paraId="72B27B78" w14:textId="77777777" w:rsidR="00BE71AB" w:rsidRPr="00B622EC" w:rsidRDefault="00BE71AB" w:rsidP="00BE71AB">
            <w:pPr>
              <w:tabs>
                <w:tab w:val="left" w:pos="308"/>
              </w:tabs>
              <w:spacing w:after="0" w:line="240" w:lineRule="auto"/>
              <w:ind w:left="24"/>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 Tại nội dung phân tích sơ bộ hiệu quả kinh tế - xã hội, tính tỉ số lợi ích trên chi phí (BCR): Đề nghị các Bộ ngành cụ thể tham số re theo chức năng quản lý nhà nước chuyên ngành trong Thông tư hướng dẫn.</w:t>
            </w:r>
          </w:p>
          <w:p w14:paraId="1926904E" w14:textId="0EF8E77E" w:rsidR="00BE71AB" w:rsidRPr="00B622EC" w:rsidRDefault="00BE71AB" w:rsidP="00BE71AB">
            <w:pPr>
              <w:tabs>
                <w:tab w:val="left" w:pos="308"/>
              </w:tabs>
              <w:spacing w:after="0" w:line="240" w:lineRule="auto"/>
              <w:ind w:left="24"/>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 Tại nội dung tính NPV trong Phụ lục II kèm theo Nghị định, đề nghị đặt tên tham số r là tỉ suất chiết khấu tài chính của dự án để phân biệt với tỉ suất chiết khấu kinh tế re.</w:t>
            </w:r>
          </w:p>
        </w:tc>
        <w:tc>
          <w:tcPr>
            <w:tcW w:w="1336" w:type="pct"/>
            <w:shd w:val="clear" w:color="auto" w:fill="auto"/>
            <w:vAlign w:val="center"/>
          </w:tcPr>
          <w:p w14:paraId="777AD035" w14:textId="3BE21951" w:rsidR="00BE71AB" w:rsidRPr="00107A60" w:rsidRDefault="00107A60" w:rsidP="00BE71AB">
            <w:pPr>
              <w:spacing w:after="0" w:line="240" w:lineRule="auto"/>
              <w:jc w:val="both"/>
              <w:rPr>
                <w:rFonts w:ascii="Times New Roman" w:hAnsi="Times New Roman"/>
                <w:color w:val="000000" w:themeColor="text1"/>
                <w:sz w:val="24"/>
                <w:szCs w:val="24"/>
                <w:lang w:val="en-US"/>
              </w:rPr>
            </w:pPr>
            <w:r w:rsidRPr="00107A60">
              <w:rPr>
                <w:rFonts w:ascii="Times New Roman" w:hAnsi="Times New Roman"/>
                <w:color w:val="000000" w:themeColor="text1"/>
                <w:sz w:val="24"/>
                <w:szCs w:val="24"/>
                <w:lang w:val="en-US"/>
              </w:rPr>
              <w:t>Tiếp tục nghiên cứu</w:t>
            </w:r>
          </w:p>
        </w:tc>
      </w:tr>
      <w:tr w:rsidR="00BE71AB" w:rsidRPr="00B622EC" w14:paraId="47D92242" w14:textId="77777777" w:rsidTr="009C3E48">
        <w:tc>
          <w:tcPr>
            <w:tcW w:w="460" w:type="pct"/>
            <w:vMerge/>
            <w:shd w:val="clear" w:color="auto" w:fill="auto"/>
            <w:vAlign w:val="center"/>
          </w:tcPr>
          <w:p w14:paraId="1263E49A" w14:textId="77777777" w:rsidR="00BE71AB" w:rsidRPr="00B622EC" w:rsidRDefault="00BE71AB" w:rsidP="00BE71AB">
            <w:pPr>
              <w:spacing w:after="0" w:line="240" w:lineRule="auto"/>
              <w:jc w:val="center"/>
              <w:rPr>
                <w:rFonts w:ascii="Times New Roman" w:hAnsi="Times New Roman"/>
                <w:b/>
                <w:color w:val="000000" w:themeColor="text1"/>
                <w:sz w:val="24"/>
                <w:szCs w:val="24"/>
                <w:lang w:val="en-US"/>
              </w:rPr>
            </w:pPr>
          </w:p>
        </w:tc>
        <w:tc>
          <w:tcPr>
            <w:tcW w:w="842" w:type="pct"/>
            <w:shd w:val="clear" w:color="auto" w:fill="auto"/>
            <w:vAlign w:val="center"/>
          </w:tcPr>
          <w:p w14:paraId="1D45949B" w14:textId="782449EF" w:rsidR="00BE71AB" w:rsidRPr="00B622EC" w:rsidRDefault="00BE71AB" w:rsidP="00BE71AB">
            <w:pPr>
              <w:spacing w:after="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t>Vụ Tài chính tiền tệ, Bộ Kh&amp;ĐT</w:t>
            </w:r>
          </w:p>
        </w:tc>
        <w:tc>
          <w:tcPr>
            <w:tcW w:w="2362" w:type="pct"/>
            <w:shd w:val="clear" w:color="auto" w:fill="auto"/>
            <w:vAlign w:val="center"/>
          </w:tcPr>
          <w:p w14:paraId="1B559F34" w14:textId="77777777" w:rsidR="00BE71AB" w:rsidRPr="00B622EC" w:rsidRDefault="00BE71AB" w:rsidP="00BE71AB">
            <w:pPr>
              <w:tabs>
                <w:tab w:val="left" w:pos="308"/>
              </w:tabs>
              <w:spacing w:after="0" w:line="240" w:lineRule="auto"/>
              <w:ind w:left="24"/>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 Một số góp ý đối với Phụ lục IV- Hướng dẫn lập hợp đồng dự án PPP:</w:t>
            </w:r>
          </w:p>
          <w:p w14:paraId="3EC952C0" w14:textId="3ECF009D" w:rsidR="00BE71AB" w:rsidRPr="00B622EC" w:rsidRDefault="00BE71AB" w:rsidP="00BE71AB">
            <w:pPr>
              <w:tabs>
                <w:tab w:val="left" w:pos="308"/>
              </w:tabs>
              <w:spacing w:after="0" w:line="240" w:lineRule="auto"/>
              <w:ind w:left="24"/>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 xml:space="preserve">+ Đề nghị quy định hướng dẫn về nội dung “thu phí và lệ phí” tại điểm 6 khoản 8 (trang 80) phù hợp với quy định tại Luật PPP và Luật Phí và Lệ phí. </w:t>
            </w:r>
          </w:p>
          <w:p w14:paraId="5819D83C" w14:textId="77777777" w:rsidR="00BE71AB" w:rsidRPr="00B622EC" w:rsidRDefault="00BE71AB" w:rsidP="00BE71AB">
            <w:pPr>
              <w:pStyle w:val="FootnoteText"/>
              <w:spacing w:after="0"/>
              <w:jc w:val="both"/>
              <w:rPr>
                <w:rFonts w:ascii="Times New Roman" w:hAnsi="Times New Roman"/>
                <w:iCs/>
                <w:color w:val="000000" w:themeColor="text1"/>
                <w:sz w:val="24"/>
                <w:szCs w:val="24"/>
                <w:lang w:val="en-US"/>
              </w:rPr>
            </w:pPr>
            <w:r w:rsidRPr="00B622EC">
              <w:rPr>
                <w:rFonts w:ascii="Times New Roman" w:hAnsi="Times New Roman"/>
                <w:iCs/>
                <w:color w:val="000000" w:themeColor="text1"/>
                <w:sz w:val="24"/>
                <w:szCs w:val="24"/>
                <w:lang w:val="en-US"/>
              </w:rPr>
              <w:t xml:space="preserve">(- Theo quy định tại Điều 45 Luật PPP chỉ quy định phí trực tiếp từ người sử dụng hoặc tổ chức bao tiêu sản phẩm, dịch vụ công của nhóm hợp đồng dự án PPP không quy định lệ phí. </w:t>
            </w:r>
          </w:p>
          <w:p w14:paraId="40DA3322" w14:textId="77777777" w:rsidR="00BE71AB" w:rsidRPr="00B622EC" w:rsidRDefault="00BE71AB" w:rsidP="00BE71AB">
            <w:pPr>
              <w:tabs>
                <w:tab w:val="left" w:pos="308"/>
              </w:tabs>
              <w:spacing w:after="0" w:line="240" w:lineRule="auto"/>
              <w:ind w:left="24"/>
              <w:jc w:val="both"/>
              <w:rPr>
                <w:rFonts w:ascii="Times New Roman" w:hAnsi="Times New Roman"/>
                <w:iCs/>
                <w:color w:val="000000" w:themeColor="text1"/>
                <w:sz w:val="24"/>
                <w:szCs w:val="24"/>
                <w:lang w:val="en-US"/>
              </w:rPr>
            </w:pPr>
            <w:r w:rsidRPr="00B622EC">
              <w:rPr>
                <w:rFonts w:ascii="Times New Roman" w:hAnsi="Times New Roman"/>
                <w:iCs/>
                <w:color w:val="000000" w:themeColor="text1"/>
                <w:sz w:val="24"/>
                <w:szCs w:val="24"/>
                <w:lang w:val="en-US"/>
              </w:rPr>
              <w:t xml:space="preserve"> - Theo quy định tại Điều Luật Phí và Lệ phí: Lệ phí là khoản tiền được ấn định mà tổ chức, cá nhân phải nộp khi được cơ quan nhà nước cung cấp dịch vụ công, phục vụ công việc quản lý nhà nước được quy định trong Danh mục lệ phí ban hành kèm theo Luật này.)</w:t>
            </w:r>
          </w:p>
          <w:p w14:paraId="1162BBAE" w14:textId="16F2FCBF" w:rsidR="00BE71AB" w:rsidRPr="00B622EC" w:rsidRDefault="00BE71AB" w:rsidP="00BE71AB">
            <w:pPr>
              <w:tabs>
                <w:tab w:val="left" w:pos="308"/>
              </w:tabs>
              <w:spacing w:after="0" w:line="240" w:lineRule="auto"/>
              <w:ind w:left="24"/>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 Tại khoản 30 (trang 91): Tại chương VII Luật PPP quy định về ưu đãi và đảm bảo đầu tư, không quy định đối với nội dung bảo lãnh chính phủ. Do đó, đề nghị nghiên cứu sửa đổi hướng dẫn trong dự thảo Nghị định phù hợp với các quy định tại Luật PPP.</w:t>
            </w:r>
          </w:p>
        </w:tc>
        <w:tc>
          <w:tcPr>
            <w:tcW w:w="1336" w:type="pct"/>
            <w:shd w:val="clear" w:color="auto" w:fill="auto"/>
            <w:vAlign w:val="center"/>
          </w:tcPr>
          <w:p w14:paraId="13C6ACA0" w14:textId="1A1760AF" w:rsidR="00BE71AB" w:rsidRPr="00107A60" w:rsidRDefault="00107A60" w:rsidP="00BE71AB">
            <w:pPr>
              <w:spacing w:after="0" w:line="240" w:lineRule="auto"/>
              <w:jc w:val="both"/>
              <w:rPr>
                <w:rFonts w:ascii="Times New Roman" w:hAnsi="Times New Roman"/>
                <w:color w:val="000000" w:themeColor="text1"/>
                <w:sz w:val="24"/>
                <w:szCs w:val="24"/>
              </w:rPr>
            </w:pPr>
            <w:r w:rsidRPr="00107A60">
              <w:rPr>
                <w:rFonts w:ascii="Times New Roman" w:hAnsi="Times New Roman"/>
                <w:color w:val="000000" w:themeColor="text1"/>
                <w:sz w:val="24"/>
                <w:szCs w:val="24"/>
                <w:lang w:val="en-US"/>
              </w:rPr>
              <w:t>Tiếp tục nghiên cứu</w:t>
            </w:r>
          </w:p>
        </w:tc>
      </w:tr>
      <w:tr w:rsidR="00BE71AB" w:rsidRPr="00B622EC" w14:paraId="1050AAA1" w14:textId="77777777" w:rsidTr="009C3E48">
        <w:tc>
          <w:tcPr>
            <w:tcW w:w="460" w:type="pct"/>
            <w:vMerge w:val="restart"/>
            <w:shd w:val="clear" w:color="auto" w:fill="auto"/>
            <w:vAlign w:val="center"/>
          </w:tcPr>
          <w:p w14:paraId="29BF595E" w14:textId="06ABF4C3" w:rsidR="00BE71AB" w:rsidRPr="00B622EC" w:rsidRDefault="00BE71AB" w:rsidP="00BE71AB">
            <w:pPr>
              <w:spacing w:after="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lastRenderedPageBreak/>
              <w:t>Ý kiến khác</w:t>
            </w:r>
          </w:p>
        </w:tc>
        <w:tc>
          <w:tcPr>
            <w:tcW w:w="842" w:type="pct"/>
            <w:shd w:val="clear" w:color="auto" w:fill="auto"/>
            <w:vAlign w:val="center"/>
          </w:tcPr>
          <w:p w14:paraId="2CD426B8" w14:textId="05D4B63B" w:rsidR="00BE71AB" w:rsidRPr="00B622EC" w:rsidRDefault="00BE71AB" w:rsidP="00BE71AB">
            <w:pPr>
              <w:spacing w:after="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t>Bắc Ninh</w:t>
            </w:r>
          </w:p>
        </w:tc>
        <w:tc>
          <w:tcPr>
            <w:tcW w:w="2362" w:type="pct"/>
            <w:shd w:val="clear" w:color="auto" w:fill="auto"/>
            <w:vAlign w:val="center"/>
          </w:tcPr>
          <w:p w14:paraId="61DE23D4" w14:textId="788F7935" w:rsidR="00BE71AB" w:rsidRPr="00B622EC" w:rsidRDefault="00BF14D6" w:rsidP="00BE71AB">
            <w:pPr>
              <w:tabs>
                <w:tab w:val="left" w:pos="308"/>
              </w:tabs>
              <w:spacing w:after="0" w:line="240" w:lineRule="auto"/>
              <w:ind w:left="24"/>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Đ</w:t>
            </w:r>
            <w:r w:rsidR="00BE71AB" w:rsidRPr="00B622EC">
              <w:rPr>
                <w:rFonts w:ascii="Times New Roman" w:hAnsi="Times New Roman"/>
                <w:color w:val="000000" w:themeColor="text1"/>
                <w:sz w:val="24"/>
                <w:szCs w:val="24"/>
                <w:lang w:val="en-US"/>
              </w:rPr>
              <w:t xml:space="preserve">ề nghị cơ quan soạn thảo nghiên cứu, hướng dẫn về việc sử dụng tài sản công đối với trường hợp ký kết hợp đồng tại thời điểm sau ngày 01/01/2018 và trước ngày 01/10/2019 mà </w:t>
            </w:r>
            <w:r w:rsidRPr="00B622EC">
              <w:rPr>
                <w:rFonts w:ascii="Times New Roman" w:hAnsi="Times New Roman"/>
                <w:color w:val="000000" w:themeColor="text1"/>
                <w:sz w:val="24"/>
                <w:szCs w:val="24"/>
                <w:lang w:val="en-US"/>
              </w:rPr>
              <w:t>dự án được chỉ định trực tiếp theo các quy định tại Nghị định số 78/2007/NĐ-CP, Nghị định số 108/2009/NĐ-CP mà không tổ chức đấu thầu lựa chọn Nhà đầu tư</w:t>
            </w:r>
          </w:p>
        </w:tc>
        <w:tc>
          <w:tcPr>
            <w:tcW w:w="1336" w:type="pct"/>
            <w:shd w:val="clear" w:color="auto" w:fill="auto"/>
            <w:vAlign w:val="center"/>
          </w:tcPr>
          <w:p w14:paraId="221164B1" w14:textId="184C40EC" w:rsidR="00BE71AB" w:rsidRPr="008024BC" w:rsidRDefault="008024BC" w:rsidP="008024BC">
            <w:pPr>
              <w:spacing w:after="0" w:line="240" w:lineRule="auto"/>
              <w:jc w:val="both"/>
              <w:rPr>
                <w:rFonts w:ascii="Times New Roman" w:hAnsi="Times New Roman"/>
                <w:b/>
                <w:color w:val="000000" w:themeColor="text1"/>
                <w:sz w:val="24"/>
                <w:szCs w:val="24"/>
                <w:lang w:val="en-US"/>
              </w:rPr>
            </w:pPr>
            <w:r w:rsidRPr="008024BC">
              <w:rPr>
                <w:rFonts w:ascii="Times New Roman" w:hAnsi="Times New Roman"/>
                <w:color w:val="000000" w:themeColor="text1"/>
                <w:sz w:val="24"/>
                <w:szCs w:val="24"/>
                <w:lang w:val="en-US"/>
              </w:rPr>
              <w:t>Dự thảo Nghị định</w:t>
            </w:r>
            <w:r>
              <w:rPr>
                <w:rFonts w:ascii="Times New Roman" w:hAnsi="Times New Roman"/>
                <w:b/>
                <w:color w:val="000000" w:themeColor="text1"/>
                <w:sz w:val="24"/>
                <w:szCs w:val="24"/>
                <w:lang w:val="en-US"/>
              </w:rPr>
              <w:t xml:space="preserve"> </w:t>
            </w:r>
            <w:r>
              <w:rPr>
                <w:rFonts w:ascii="Times New Roman" w:hAnsi="Times New Roman"/>
                <w:color w:val="000000" w:themeColor="text1"/>
                <w:sz w:val="24"/>
                <w:szCs w:val="24"/>
                <w:lang w:val="en-US"/>
              </w:rPr>
              <w:t>s</w:t>
            </w:r>
            <w:r w:rsidRPr="008024BC">
              <w:rPr>
                <w:rFonts w:ascii="Times New Roman" w:hAnsi="Times New Roman"/>
                <w:color w:val="000000" w:themeColor="text1"/>
                <w:sz w:val="24"/>
                <w:szCs w:val="24"/>
                <w:lang w:val="en-US"/>
              </w:rPr>
              <w:t>ửa đổi, bổ sung Nghị định số 69/2019/NĐ-CP ngày 19/12/2019 của Chính phủ</w:t>
            </w:r>
            <w:r w:rsidR="00C54067">
              <w:rPr>
                <w:rFonts w:ascii="Times New Roman" w:hAnsi="Times New Roman"/>
                <w:color w:val="000000" w:themeColor="text1"/>
                <w:sz w:val="24"/>
                <w:szCs w:val="24"/>
                <w:lang w:val="en-US"/>
              </w:rPr>
              <w:t xml:space="preserve"> nhằm tháo gỡ vướng mắc, khó khăn trong việc triển khai các dự án PPP</w:t>
            </w:r>
          </w:p>
        </w:tc>
      </w:tr>
      <w:tr w:rsidR="00BE71AB" w:rsidRPr="00B622EC" w14:paraId="314BCD54" w14:textId="77777777" w:rsidTr="009C3E48">
        <w:tc>
          <w:tcPr>
            <w:tcW w:w="460" w:type="pct"/>
            <w:vMerge/>
            <w:shd w:val="clear" w:color="auto" w:fill="auto"/>
            <w:vAlign w:val="center"/>
          </w:tcPr>
          <w:p w14:paraId="078FF4D9" w14:textId="77777777" w:rsidR="00BE71AB" w:rsidRPr="00B622EC" w:rsidRDefault="00BE71AB" w:rsidP="00BE71AB">
            <w:pPr>
              <w:spacing w:after="0" w:line="240" w:lineRule="auto"/>
              <w:jc w:val="center"/>
              <w:rPr>
                <w:rFonts w:ascii="Times New Roman" w:hAnsi="Times New Roman"/>
                <w:b/>
                <w:color w:val="000000" w:themeColor="text1"/>
                <w:sz w:val="24"/>
                <w:szCs w:val="24"/>
                <w:lang w:val="en-US"/>
              </w:rPr>
            </w:pPr>
          </w:p>
        </w:tc>
        <w:tc>
          <w:tcPr>
            <w:tcW w:w="842" w:type="pct"/>
            <w:shd w:val="clear" w:color="auto" w:fill="auto"/>
            <w:vAlign w:val="center"/>
          </w:tcPr>
          <w:p w14:paraId="38B0E6B9" w14:textId="6D788890" w:rsidR="00BE71AB" w:rsidRPr="00B622EC" w:rsidRDefault="00BE71AB" w:rsidP="00BE71AB">
            <w:pPr>
              <w:spacing w:after="0" w:line="240" w:lineRule="auto"/>
              <w:jc w:val="center"/>
              <w:rPr>
                <w:rFonts w:ascii="Times New Roman" w:hAnsi="Times New Roman"/>
                <w:b/>
                <w:color w:val="000000" w:themeColor="text1"/>
                <w:sz w:val="24"/>
                <w:szCs w:val="24"/>
                <w:lang w:val="en-US"/>
              </w:rPr>
            </w:pPr>
            <w:r w:rsidRPr="00B622EC">
              <w:rPr>
                <w:rFonts w:ascii="Times New Roman" w:hAnsi="Times New Roman"/>
                <w:b/>
                <w:color w:val="000000" w:themeColor="text1"/>
                <w:sz w:val="24"/>
                <w:szCs w:val="24"/>
                <w:lang w:val="en-US"/>
              </w:rPr>
              <w:t>Bộ Thông tin và truyền thông</w:t>
            </w:r>
          </w:p>
        </w:tc>
        <w:tc>
          <w:tcPr>
            <w:tcW w:w="2362" w:type="pct"/>
            <w:shd w:val="clear" w:color="auto" w:fill="auto"/>
            <w:vAlign w:val="center"/>
          </w:tcPr>
          <w:p w14:paraId="29BBB1C4" w14:textId="77777777" w:rsidR="00BE71AB" w:rsidRDefault="00BE71AB" w:rsidP="00BE71AB">
            <w:pPr>
              <w:tabs>
                <w:tab w:val="left" w:pos="308"/>
              </w:tabs>
              <w:spacing w:after="0" w:line="240" w:lineRule="auto"/>
              <w:ind w:left="24"/>
              <w:jc w:val="both"/>
              <w:rPr>
                <w:rFonts w:ascii="Times New Roman" w:hAnsi="Times New Roman"/>
                <w:color w:val="000000" w:themeColor="text1"/>
                <w:sz w:val="24"/>
                <w:szCs w:val="24"/>
                <w:lang w:val="en-US"/>
              </w:rPr>
            </w:pPr>
            <w:r w:rsidRPr="00B622EC">
              <w:rPr>
                <w:rFonts w:ascii="Times New Roman" w:hAnsi="Times New Roman"/>
                <w:color w:val="000000" w:themeColor="text1"/>
                <w:sz w:val="24"/>
                <w:szCs w:val="24"/>
                <w:lang w:val="en-US"/>
              </w:rPr>
              <w:t>Xem xét, bổ sung các quy định về trách nhiệm thấm định, thẩm quyền thẩm định hồ sơ thiết kế kỹ thuật, công nghệ ở bước lập, thấm định Báo cáo nghiên cún khả thi theo quy định của pháp luật chuyên ngành (xây dựng, công nghệ thông tin...) và bổ sung hướng dẫn Điều 20, Điều 57 của Luật Đầu tư theo phương thức đối tác công tư trong dự thảo Nghị định.</w:t>
            </w:r>
          </w:p>
          <w:p w14:paraId="75902264" w14:textId="65131FE6" w:rsidR="009207A5" w:rsidRPr="00B622EC" w:rsidRDefault="009207A5" w:rsidP="00BE71AB">
            <w:pPr>
              <w:tabs>
                <w:tab w:val="left" w:pos="308"/>
              </w:tabs>
              <w:spacing w:after="0" w:line="240" w:lineRule="auto"/>
              <w:ind w:left="24"/>
              <w:jc w:val="both"/>
              <w:rPr>
                <w:rFonts w:ascii="Times New Roman" w:hAnsi="Times New Roman"/>
                <w:color w:val="000000" w:themeColor="text1"/>
                <w:sz w:val="24"/>
                <w:szCs w:val="24"/>
                <w:lang w:val="en-US"/>
              </w:rPr>
            </w:pPr>
          </w:p>
        </w:tc>
        <w:tc>
          <w:tcPr>
            <w:tcW w:w="1336" w:type="pct"/>
            <w:shd w:val="clear" w:color="auto" w:fill="auto"/>
            <w:vAlign w:val="center"/>
          </w:tcPr>
          <w:p w14:paraId="358458B4" w14:textId="164592DB" w:rsidR="00BE71AB" w:rsidRPr="009207A5" w:rsidRDefault="00BF14D6" w:rsidP="00BE71AB">
            <w:pPr>
              <w:spacing w:after="0" w:line="240" w:lineRule="auto"/>
              <w:jc w:val="both"/>
              <w:rPr>
                <w:rFonts w:ascii="Times New Roman" w:hAnsi="Times New Roman"/>
                <w:color w:val="000000" w:themeColor="text1"/>
                <w:sz w:val="24"/>
                <w:szCs w:val="24"/>
                <w:lang w:val="en-US"/>
              </w:rPr>
            </w:pPr>
            <w:r w:rsidRPr="009207A5">
              <w:rPr>
                <w:rFonts w:ascii="Times New Roman" w:hAnsi="Times New Roman"/>
                <w:color w:val="000000" w:themeColor="text1"/>
                <w:sz w:val="24"/>
                <w:szCs w:val="24"/>
                <w:lang w:val="en-US"/>
              </w:rPr>
              <w:t>Các quy định tại Nghị định này được xây dựng theo hướng đảm bảo không chồng chéo với quy định của pháp luật chuyên ngành. Vai trò thẩm định của cơ quan chuyên môn về xây dựng thực hiện theo quy định của pháp luật về xây dựng</w:t>
            </w:r>
          </w:p>
        </w:tc>
      </w:tr>
    </w:tbl>
    <w:p w14:paraId="44C4208C" w14:textId="77777777" w:rsidR="00064C53" w:rsidRPr="00B622EC" w:rsidRDefault="00064C53" w:rsidP="00064C53">
      <w:pPr>
        <w:jc w:val="both"/>
        <w:rPr>
          <w:rFonts w:ascii="Times New Roman" w:hAnsi="Times New Roman"/>
          <w:color w:val="000000" w:themeColor="text1"/>
          <w:sz w:val="24"/>
          <w:szCs w:val="24"/>
          <w:lang w:val="sv-SE"/>
        </w:rPr>
      </w:pPr>
    </w:p>
    <w:sectPr w:rsidR="00064C53" w:rsidRPr="00B622EC" w:rsidSect="00D4322A">
      <w:headerReference w:type="default" r:id="rId8"/>
      <w:pgSz w:w="16838" w:h="11906" w:orient="landscape"/>
      <w:pgMar w:top="567" w:right="1440" w:bottom="568"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1569A" w14:textId="77777777" w:rsidR="00963D33" w:rsidRDefault="00963D33" w:rsidP="00AA7718">
      <w:pPr>
        <w:spacing w:after="0" w:line="240" w:lineRule="auto"/>
      </w:pPr>
      <w:r>
        <w:separator/>
      </w:r>
    </w:p>
  </w:endnote>
  <w:endnote w:type="continuationSeparator" w:id="0">
    <w:p w14:paraId="0B160F1F" w14:textId="77777777" w:rsidR="00963D33" w:rsidRDefault="00963D33" w:rsidP="00AA7718">
      <w:pPr>
        <w:spacing w:after="0" w:line="240" w:lineRule="auto"/>
      </w:pPr>
      <w:r>
        <w:continuationSeparator/>
      </w:r>
    </w:p>
  </w:endnote>
  <w:endnote w:type="continuationNotice" w:id="1">
    <w:p w14:paraId="3274DD20" w14:textId="77777777" w:rsidR="00963D33" w:rsidRDefault="00963D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6689B" w14:textId="77777777" w:rsidR="00963D33" w:rsidRDefault="00963D33" w:rsidP="00AA7718">
      <w:pPr>
        <w:spacing w:after="0" w:line="240" w:lineRule="auto"/>
      </w:pPr>
      <w:r>
        <w:separator/>
      </w:r>
    </w:p>
  </w:footnote>
  <w:footnote w:type="continuationSeparator" w:id="0">
    <w:p w14:paraId="7AEC4914" w14:textId="77777777" w:rsidR="00963D33" w:rsidRDefault="00963D33" w:rsidP="00AA7718">
      <w:pPr>
        <w:spacing w:after="0" w:line="240" w:lineRule="auto"/>
      </w:pPr>
      <w:r>
        <w:continuationSeparator/>
      </w:r>
    </w:p>
  </w:footnote>
  <w:footnote w:type="continuationNotice" w:id="1">
    <w:p w14:paraId="3DAE3045" w14:textId="77777777" w:rsidR="00963D33" w:rsidRDefault="00963D3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89961"/>
      <w:docPartObj>
        <w:docPartGallery w:val="Page Numbers (Top of Page)"/>
        <w:docPartUnique/>
      </w:docPartObj>
    </w:sdtPr>
    <w:sdtEndPr>
      <w:rPr>
        <w:noProof/>
        <w:sz w:val="24"/>
        <w:szCs w:val="24"/>
      </w:rPr>
    </w:sdtEndPr>
    <w:sdtContent>
      <w:p w14:paraId="07A8D4DF" w14:textId="37FD04F2" w:rsidR="00467DC6" w:rsidRPr="00467DC6" w:rsidRDefault="00467DC6">
        <w:pPr>
          <w:pStyle w:val="Header"/>
          <w:jc w:val="center"/>
          <w:rPr>
            <w:sz w:val="24"/>
            <w:szCs w:val="24"/>
          </w:rPr>
        </w:pPr>
        <w:r w:rsidRPr="00467DC6">
          <w:rPr>
            <w:sz w:val="24"/>
            <w:szCs w:val="24"/>
          </w:rPr>
          <w:fldChar w:fldCharType="begin"/>
        </w:r>
        <w:r w:rsidRPr="00467DC6">
          <w:rPr>
            <w:sz w:val="24"/>
            <w:szCs w:val="24"/>
          </w:rPr>
          <w:instrText xml:space="preserve"> PAGE   \* MERGEFORMAT </w:instrText>
        </w:r>
        <w:r w:rsidRPr="00467DC6">
          <w:rPr>
            <w:sz w:val="24"/>
            <w:szCs w:val="24"/>
          </w:rPr>
          <w:fldChar w:fldCharType="separate"/>
        </w:r>
        <w:r w:rsidR="00C87365">
          <w:rPr>
            <w:noProof/>
            <w:sz w:val="24"/>
            <w:szCs w:val="24"/>
          </w:rPr>
          <w:t>3</w:t>
        </w:r>
        <w:r w:rsidRPr="00467DC6">
          <w:rPr>
            <w:noProof/>
            <w:sz w:val="24"/>
            <w:szCs w:val="24"/>
          </w:rPr>
          <w:fldChar w:fldCharType="end"/>
        </w:r>
      </w:p>
    </w:sdtContent>
  </w:sdt>
  <w:p w14:paraId="3C7D3B44" w14:textId="77777777" w:rsidR="001625F6" w:rsidRDefault="001625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1E20"/>
    <w:multiLevelType w:val="hybridMultilevel"/>
    <w:tmpl w:val="DEC4986A"/>
    <w:lvl w:ilvl="0" w:tplc="B454707A">
      <w:numFmt w:val="bullet"/>
      <w:lvlText w:val="-"/>
      <w:lvlJc w:val="left"/>
      <w:pPr>
        <w:ind w:left="480" w:hanging="196"/>
      </w:pPr>
      <w:rPr>
        <w:rFonts w:ascii="Times New Roman" w:eastAsia="Times New Roman" w:hAnsi="Times New Roman" w:cs="Times New Roman" w:hint="default"/>
        <w:w w:val="102"/>
        <w:sz w:val="27"/>
        <w:szCs w:val="27"/>
        <w:lang w:val="vi" w:eastAsia="en-US" w:bidi="ar-SA"/>
      </w:rPr>
    </w:lvl>
    <w:lvl w:ilvl="1" w:tplc="5A4EE274">
      <w:numFmt w:val="bullet"/>
      <w:lvlText w:val="•"/>
      <w:lvlJc w:val="left"/>
      <w:pPr>
        <w:ind w:left="1446" w:hanging="196"/>
      </w:pPr>
      <w:rPr>
        <w:rFonts w:hint="default"/>
        <w:lang w:val="vi" w:eastAsia="en-US" w:bidi="ar-SA"/>
      </w:rPr>
    </w:lvl>
    <w:lvl w:ilvl="2" w:tplc="3AF418A2">
      <w:numFmt w:val="bullet"/>
      <w:lvlText w:val="•"/>
      <w:lvlJc w:val="left"/>
      <w:pPr>
        <w:ind w:left="2414" w:hanging="196"/>
      </w:pPr>
      <w:rPr>
        <w:rFonts w:hint="default"/>
        <w:lang w:val="vi" w:eastAsia="en-US" w:bidi="ar-SA"/>
      </w:rPr>
    </w:lvl>
    <w:lvl w:ilvl="3" w:tplc="5A12C7C2">
      <w:numFmt w:val="bullet"/>
      <w:lvlText w:val="•"/>
      <w:lvlJc w:val="left"/>
      <w:pPr>
        <w:ind w:left="3382" w:hanging="196"/>
      </w:pPr>
      <w:rPr>
        <w:rFonts w:hint="default"/>
        <w:lang w:val="vi" w:eastAsia="en-US" w:bidi="ar-SA"/>
      </w:rPr>
    </w:lvl>
    <w:lvl w:ilvl="4" w:tplc="E1C250D8">
      <w:numFmt w:val="bullet"/>
      <w:lvlText w:val="•"/>
      <w:lvlJc w:val="left"/>
      <w:pPr>
        <w:ind w:left="4350" w:hanging="196"/>
      </w:pPr>
      <w:rPr>
        <w:rFonts w:hint="default"/>
        <w:lang w:val="vi" w:eastAsia="en-US" w:bidi="ar-SA"/>
      </w:rPr>
    </w:lvl>
    <w:lvl w:ilvl="5" w:tplc="0532BB02">
      <w:numFmt w:val="bullet"/>
      <w:lvlText w:val="•"/>
      <w:lvlJc w:val="left"/>
      <w:pPr>
        <w:ind w:left="5318" w:hanging="196"/>
      </w:pPr>
      <w:rPr>
        <w:rFonts w:hint="default"/>
        <w:lang w:val="vi" w:eastAsia="en-US" w:bidi="ar-SA"/>
      </w:rPr>
    </w:lvl>
    <w:lvl w:ilvl="6" w:tplc="D514DA22">
      <w:numFmt w:val="bullet"/>
      <w:lvlText w:val="•"/>
      <w:lvlJc w:val="left"/>
      <w:pPr>
        <w:ind w:left="6286" w:hanging="196"/>
      </w:pPr>
      <w:rPr>
        <w:rFonts w:hint="default"/>
        <w:lang w:val="vi" w:eastAsia="en-US" w:bidi="ar-SA"/>
      </w:rPr>
    </w:lvl>
    <w:lvl w:ilvl="7" w:tplc="C4403F0E">
      <w:numFmt w:val="bullet"/>
      <w:lvlText w:val="•"/>
      <w:lvlJc w:val="left"/>
      <w:pPr>
        <w:ind w:left="7254" w:hanging="196"/>
      </w:pPr>
      <w:rPr>
        <w:rFonts w:hint="default"/>
        <w:lang w:val="vi" w:eastAsia="en-US" w:bidi="ar-SA"/>
      </w:rPr>
    </w:lvl>
    <w:lvl w:ilvl="8" w:tplc="650C049A">
      <w:numFmt w:val="bullet"/>
      <w:lvlText w:val="•"/>
      <w:lvlJc w:val="left"/>
      <w:pPr>
        <w:ind w:left="8222" w:hanging="196"/>
      </w:pPr>
      <w:rPr>
        <w:rFonts w:hint="default"/>
        <w:lang w:val="vi" w:eastAsia="en-US" w:bidi="ar-SA"/>
      </w:rPr>
    </w:lvl>
  </w:abstractNum>
  <w:abstractNum w:abstractNumId="1" w15:restartNumberingAfterBreak="0">
    <w:nsid w:val="1C594519"/>
    <w:multiLevelType w:val="hybridMultilevel"/>
    <w:tmpl w:val="D716EE98"/>
    <w:lvl w:ilvl="0" w:tplc="04090001">
      <w:start w:val="1"/>
      <w:numFmt w:val="bullet"/>
      <w:lvlText w:val=""/>
      <w:lvlJc w:val="left"/>
      <w:pPr>
        <w:ind w:left="1521" w:hanging="360"/>
      </w:pPr>
      <w:rPr>
        <w:rFonts w:ascii="Symbol" w:hAnsi="Symbol" w:hint="default"/>
      </w:rPr>
    </w:lvl>
    <w:lvl w:ilvl="1" w:tplc="04090003" w:tentative="1">
      <w:start w:val="1"/>
      <w:numFmt w:val="bullet"/>
      <w:lvlText w:val="o"/>
      <w:lvlJc w:val="left"/>
      <w:pPr>
        <w:ind w:left="2241" w:hanging="360"/>
      </w:pPr>
      <w:rPr>
        <w:rFonts w:ascii="Courier New" w:hAnsi="Courier New" w:cs="Courier New" w:hint="default"/>
      </w:rPr>
    </w:lvl>
    <w:lvl w:ilvl="2" w:tplc="04090005" w:tentative="1">
      <w:start w:val="1"/>
      <w:numFmt w:val="bullet"/>
      <w:lvlText w:val=""/>
      <w:lvlJc w:val="left"/>
      <w:pPr>
        <w:ind w:left="2961" w:hanging="360"/>
      </w:pPr>
      <w:rPr>
        <w:rFonts w:ascii="Wingdings" w:hAnsi="Wingdings" w:hint="default"/>
      </w:rPr>
    </w:lvl>
    <w:lvl w:ilvl="3" w:tplc="04090001" w:tentative="1">
      <w:start w:val="1"/>
      <w:numFmt w:val="bullet"/>
      <w:lvlText w:val=""/>
      <w:lvlJc w:val="left"/>
      <w:pPr>
        <w:ind w:left="3681" w:hanging="360"/>
      </w:pPr>
      <w:rPr>
        <w:rFonts w:ascii="Symbol" w:hAnsi="Symbol" w:hint="default"/>
      </w:rPr>
    </w:lvl>
    <w:lvl w:ilvl="4" w:tplc="04090003" w:tentative="1">
      <w:start w:val="1"/>
      <w:numFmt w:val="bullet"/>
      <w:lvlText w:val="o"/>
      <w:lvlJc w:val="left"/>
      <w:pPr>
        <w:ind w:left="4401" w:hanging="360"/>
      </w:pPr>
      <w:rPr>
        <w:rFonts w:ascii="Courier New" w:hAnsi="Courier New" w:cs="Courier New" w:hint="default"/>
      </w:rPr>
    </w:lvl>
    <w:lvl w:ilvl="5" w:tplc="04090005" w:tentative="1">
      <w:start w:val="1"/>
      <w:numFmt w:val="bullet"/>
      <w:lvlText w:val=""/>
      <w:lvlJc w:val="left"/>
      <w:pPr>
        <w:ind w:left="5121" w:hanging="360"/>
      </w:pPr>
      <w:rPr>
        <w:rFonts w:ascii="Wingdings" w:hAnsi="Wingdings" w:hint="default"/>
      </w:rPr>
    </w:lvl>
    <w:lvl w:ilvl="6" w:tplc="04090001" w:tentative="1">
      <w:start w:val="1"/>
      <w:numFmt w:val="bullet"/>
      <w:lvlText w:val=""/>
      <w:lvlJc w:val="left"/>
      <w:pPr>
        <w:ind w:left="5841" w:hanging="360"/>
      </w:pPr>
      <w:rPr>
        <w:rFonts w:ascii="Symbol" w:hAnsi="Symbol" w:hint="default"/>
      </w:rPr>
    </w:lvl>
    <w:lvl w:ilvl="7" w:tplc="04090003" w:tentative="1">
      <w:start w:val="1"/>
      <w:numFmt w:val="bullet"/>
      <w:lvlText w:val="o"/>
      <w:lvlJc w:val="left"/>
      <w:pPr>
        <w:ind w:left="6561" w:hanging="360"/>
      </w:pPr>
      <w:rPr>
        <w:rFonts w:ascii="Courier New" w:hAnsi="Courier New" w:cs="Courier New" w:hint="default"/>
      </w:rPr>
    </w:lvl>
    <w:lvl w:ilvl="8" w:tplc="04090005" w:tentative="1">
      <w:start w:val="1"/>
      <w:numFmt w:val="bullet"/>
      <w:lvlText w:val=""/>
      <w:lvlJc w:val="left"/>
      <w:pPr>
        <w:ind w:left="7281" w:hanging="360"/>
      </w:pPr>
      <w:rPr>
        <w:rFonts w:ascii="Wingdings" w:hAnsi="Wingdings" w:hint="default"/>
      </w:rPr>
    </w:lvl>
  </w:abstractNum>
  <w:abstractNum w:abstractNumId="2" w15:restartNumberingAfterBreak="0">
    <w:nsid w:val="1E0D172D"/>
    <w:multiLevelType w:val="hybridMultilevel"/>
    <w:tmpl w:val="90E41CAA"/>
    <w:lvl w:ilvl="0" w:tplc="D7BAA2D0">
      <w:numFmt w:val="bullet"/>
      <w:lvlText w:val="-"/>
      <w:lvlJc w:val="left"/>
      <w:pPr>
        <w:ind w:left="720" w:hanging="360"/>
      </w:pPr>
      <w:rPr>
        <w:rFonts w:ascii="Times New Roman" w:eastAsia="Arial"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FB0623"/>
    <w:multiLevelType w:val="multilevel"/>
    <w:tmpl w:val="15B2CD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5B7B64"/>
    <w:multiLevelType w:val="hybridMultilevel"/>
    <w:tmpl w:val="E3CEE3F6"/>
    <w:lvl w:ilvl="0" w:tplc="384ABB38">
      <w:numFmt w:val="bullet"/>
      <w:lvlText w:val="-"/>
      <w:lvlJc w:val="left"/>
      <w:pPr>
        <w:ind w:left="720" w:hanging="360"/>
      </w:pPr>
      <w:rPr>
        <w:rFonts w:ascii="Times New Roman" w:eastAsia="Times New Roman" w:hAnsi="Times New Roman" w:cs="Times New Roman" w:hint="default"/>
        <w:b w:val="0"/>
        <w:color w:val="000000"/>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85D1365"/>
    <w:multiLevelType w:val="hybridMultilevel"/>
    <w:tmpl w:val="82241BE8"/>
    <w:lvl w:ilvl="0" w:tplc="CBF283F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EF26F24"/>
    <w:multiLevelType w:val="hybridMultilevel"/>
    <w:tmpl w:val="332A341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69122F47"/>
    <w:multiLevelType w:val="hybridMultilevel"/>
    <w:tmpl w:val="2A8CB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962B8D"/>
    <w:multiLevelType w:val="multilevel"/>
    <w:tmpl w:val="DFF8F2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493DEB"/>
    <w:multiLevelType w:val="hybridMultilevel"/>
    <w:tmpl w:val="912E3BEA"/>
    <w:lvl w:ilvl="0" w:tplc="BE5420DA">
      <w:numFmt w:val="bullet"/>
      <w:lvlText w:val="-"/>
      <w:lvlJc w:val="left"/>
      <w:pPr>
        <w:ind w:left="720" w:hanging="360"/>
      </w:pPr>
      <w:rPr>
        <w:rFonts w:ascii="Calibri" w:eastAsia="Calibr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7A2D59CD"/>
    <w:multiLevelType w:val="multilevel"/>
    <w:tmpl w:val="AEEAB8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9854D9"/>
    <w:multiLevelType w:val="hybridMultilevel"/>
    <w:tmpl w:val="97087D46"/>
    <w:lvl w:ilvl="0" w:tplc="B84A94F2">
      <w:start w:val="6"/>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1"/>
  </w:num>
  <w:num w:numId="4">
    <w:abstractNumId w:val="7"/>
  </w:num>
  <w:num w:numId="5">
    <w:abstractNumId w:val="9"/>
  </w:num>
  <w:num w:numId="6">
    <w:abstractNumId w:val="4"/>
  </w:num>
  <w:num w:numId="7">
    <w:abstractNumId w:val="2"/>
  </w:num>
  <w:num w:numId="8">
    <w:abstractNumId w:val="5"/>
  </w:num>
  <w:num w:numId="9">
    <w:abstractNumId w:val="2"/>
  </w:num>
  <w:num w:numId="10">
    <w:abstractNumId w:val="0"/>
  </w:num>
  <w:num w:numId="11">
    <w:abstractNumId w:val="3"/>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E4A"/>
    <w:rsid w:val="00000247"/>
    <w:rsid w:val="00005B57"/>
    <w:rsid w:val="00005B9F"/>
    <w:rsid w:val="0000793F"/>
    <w:rsid w:val="0001019B"/>
    <w:rsid w:val="000109F0"/>
    <w:rsid w:val="00011792"/>
    <w:rsid w:val="00013D8E"/>
    <w:rsid w:val="000149C8"/>
    <w:rsid w:val="00014AFF"/>
    <w:rsid w:val="00017BCB"/>
    <w:rsid w:val="00017F91"/>
    <w:rsid w:val="00021FA2"/>
    <w:rsid w:val="0002263E"/>
    <w:rsid w:val="000234CE"/>
    <w:rsid w:val="00025F6D"/>
    <w:rsid w:val="0003033A"/>
    <w:rsid w:val="00030E20"/>
    <w:rsid w:val="00035990"/>
    <w:rsid w:val="00042F26"/>
    <w:rsid w:val="0004324F"/>
    <w:rsid w:val="0004455D"/>
    <w:rsid w:val="00045EDD"/>
    <w:rsid w:val="00046550"/>
    <w:rsid w:val="00050CD0"/>
    <w:rsid w:val="00053074"/>
    <w:rsid w:val="00053894"/>
    <w:rsid w:val="000555AC"/>
    <w:rsid w:val="000564A8"/>
    <w:rsid w:val="00064C53"/>
    <w:rsid w:val="00065310"/>
    <w:rsid w:val="00065444"/>
    <w:rsid w:val="00066727"/>
    <w:rsid w:val="00066C42"/>
    <w:rsid w:val="00066C66"/>
    <w:rsid w:val="00070FF8"/>
    <w:rsid w:val="00071C74"/>
    <w:rsid w:val="00073107"/>
    <w:rsid w:val="00075F86"/>
    <w:rsid w:val="000769D8"/>
    <w:rsid w:val="00082170"/>
    <w:rsid w:val="0008422F"/>
    <w:rsid w:val="00084956"/>
    <w:rsid w:val="000861C4"/>
    <w:rsid w:val="00092C79"/>
    <w:rsid w:val="000935DC"/>
    <w:rsid w:val="00093C80"/>
    <w:rsid w:val="000942AB"/>
    <w:rsid w:val="0009469A"/>
    <w:rsid w:val="00094F40"/>
    <w:rsid w:val="000950B4"/>
    <w:rsid w:val="00095F9A"/>
    <w:rsid w:val="00095FBA"/>
    <w:rsid w:val="000A170D"/>
    <w:rsid w:val="000A1E2E"/>
    <w:rsid w:val="000A1FB3"/>
    <w:rsid w:val="000A3A73"/>
    <w:rsid w:val="000A4A7F"/>
    <w:rsid w:val="000A56DD"/>
    <w:rsid w:val="000A7973"/>
    <w:rsid w:val="000B09B7"/>
    <w:rsid w:val="000B0B6D"/>
    <w:rsid w:val="000C24CF"/>
    <w:rsid w:val="000C3090"/>
    <w:rsid w:val="000C32A3"/>
    <w:rsid w:val="000C41ED"/>
    <w:rsid w:val="000C52A1"/>
    <w:rsid w:val="000C6954"/>
    <w:rsid w:val="000D059A"/>
    <w:rsid w:val="000D10DD"/>
    <w:rsid w:val="000D2773"/>
    <w:rsid w:val="000D3A57"/>
    <w:rsid w:val="000D5A38"/>
    <w:rsid w:val="000D5DC2"/>
    <w:rsid w:val="000E03EA"/>
    <w:rsid w:val="000E0C0B"/>
    <w:rsid w:val="000E3A8E"/>
    <w:rsid w:val="000E4AD1"/>
    <w:rsid w:val="000E4DB1"/>
    <w:rsid w:val="000E5E79"/>
    <w:rsid w:val="000E6003"/>
    <w:rsid w:val="000F2AD6"/>
    <w:rsid w:val="000F2CC3"/>
    <w:rsid w:val="000F3443"/>
    <w:rsid w:val="000F46EC"/>
    <w:rsid w:val="000F4F82"/>
    <w:rsid w:val="000F61CC"/>
    <w:rsid w:val="000F649B"/>
    <w:rsid w:val="000F6E4A"/>
    <w:rsid w:val="0010366F"/>
    <w:rsid w:val="0010416E"/>
    <w:rsid w:val="00106278"/>
    <w:rsid w:val="0010675E"/>
    <w:rsid w:val="00107A60"/>
    <w:rsid w:val="0011279F"/>
    <w:rsid w:val="00112FE4"/>
    <w:rsid w:val="00113FD9"/>
    <w:rsid w:val="00114964"/>
    <w:rsid w:val="00116C67"/>
    <w:rsid w:val="00120F48"/>
    <w:rsid w:val="00124461"/>
    <w:rsid w:val="00124F9C"/>
    <w:rsid w:val="001251F7"/>
    <w:rsid w:val="00131492"/>
    <w:rsid w:val="001317B3"/>
    <w:rsid w:val="00131D6E"/>
    <w:rsid w:val="00131D8A"/>
    <w:rsid w:val="00133001"/>
    <w:rsid w:val="00133750"/>
    <w:rsid w:val="00134DFB"/>
    <w:rsid w:val="00135835"/>
    <w:rsid w:val="001366EE"/>
    <w:rsid w:val="00137E7B"/>
    <w:rsid w:val="001400F6"/>
    <w:rsid w:val="00141D5A"/>
    <w:rsid w:val="00142F11"/>
    <w:rsid w:val="00150FCD"/>
    <w:rsid w:val="00154DE4"/>
    <w:rsid w:val="00156706"/>
    <w:rsid w:val="001625F6"/>
    <w:rsid w:val="001649FC"/>
    <w:rsid w:val="0016519B"/>
    <w:rsid w:val="00166815"/>
    <w:rsid w:val="00166FD0"/>
    <w:rsid w:val="00167FA4"/>
    <w:rsid w:val="0017051A"/>
    <w:rsid w:val="00173AFC"/>
    <w:rsid w:val="00174F2A"/>
    <w:rsid w:val="00177087"/>
    <w:rsid w:val="00177870"/>
    <w:rsid w:val="00177CA8"/>
    <w:rsid w:val="001810FF"/>
    <w:rsid w:val="00181208"/>
    <w:rsid w:val="001815F7"/>
    <w:rsid w:val="00182AA5"/>
    <w:rsid w:val="001838D5"/>
    <w:rsid w:val="00183F74"/>
    <w:rsid w:val="001852D2"/>
    <w:rsid w:val="0018616B"/>
    <w:rsid w:val="0018680C"/>
    <w:rsid w:val="0019368F"/>
    <w:rsid w:val="00196368"/>
    <w:rsid w:val="0019665B"/>
    <w:rsid w:val="00196BA3"/>
    <w:rsid w:val="001A39EE"/>
    <w:rsid w:val="001A3A02"/>
    <w:rsid w:val="001A5F32"/>
    <w:rsid w:val="001B305A"/>
    <w:rsid w:val="001B4F4E"/>
    <w:rsid w:val="001B5C02"/>
    <w:rsid w:val="001B605E"/>
    <w:rsid w:val="001B694E"/>
    <w:rsid w:val="001B7FAD"/>
    <w:rsid w:val="001C124A"/>
    <w:rsid w:val="001C5410"/>
    <w:rsid w:val="001C7220"/>
    <w:rsid w:val="001C73F6"/>
    <w:rsid w:val="001D096D"/>
    <w:rsid w:val="001D41BA"/>
    <w:rsid w:val="001D5DCA"/>
    <w:rsid w:val="001D6D36"/>
    <w:rsid w:val="001E1038"/>
    <w:rsid w:val="001E20FD"/>
    <w:rsid w:val="001E2C30"/>
    <w:rsid w:val="001E3EE3"/>
    <w:rsid w:val="001E54FA"/>
    <w:rsid w:val="001E57F8"/>
    <w:rsid w:val="001E5A73"/>
    <w:rsid w:val="001E61B4"/>
    <w:rsid w:val="001E63E5"/>
    <w:rsid w:val="001F0838"/>
    <w:rsid w:val="001F11B5"/>
    <w:rsid w:val="001F22D4"/>
    <w:rsid w:val="001F30C2"/>
    <w:rsid w:val="001F33BF"/>
    <w:rsid w:val="001F3C51"/>
    <w:rsid w:val="001F3D01"/>
    <w:rsid w:val="001F6F80"/>
    <w:rsid w:val="001F7A65"/>
    <w:rsid w:val="0020277B"/>
    <w:rsid w:val="0020479E"/>
    <w:rsid w:val="002048D3"/>
    <w:rsid w:val="00211F74"/>
    <w:rsid w:val="00212DC2"/>
    <w:rsid w:val="00212FCF"/>
    <w:rsid w:val="002130EA"/>
    <w:rsid w:val="00213520"/>
    <w:rsid w:val="002215C6"/>
    <w:rsid w:val="00221905"/>
    <w:rsid w:val="00221DB7"/>
    <w:rsid w:val="002221B8"/>
    <w:rsid w:val="002222F2"/>
    <w:rsid w:val="00223C7B"/>
    <w:rsid w:val="00223DC7"/>
    <w:rsid w:val="002260AE"/>
    <w:rsid w:val="00227493"/>
    <w:rsid w:val="00231F6E"/>
    <w:rsid w:val="00232139"/>
    <w:rsid w:val="002326C3"/>
    <w:rsid w:val="00232E21"/>
    <w:rsid w:val="00235317"/>
    <w:rsid w:val="0023717F"/>
    <w:rsid w:val="002372E8"/>
    <w:rsid w:val="002377C7"/>
    <w:rsid w:val="002429B0"/>
    <w:rsid w:val="00246E5D"/>
    <w:rsid w:val="00246FD1"/>
    <w:rsid w:val="002473D4"/>
    <w:rsid w:val="00251691"/>
    <w:rsid w:val="00253A18"/>
    <w:rsid w:val="002574B7"/>
    <w:rsid w:val="0026309F"/>
    <w:rsid w:val="00265013"/>
    <w:rsid w:val="00266052"/>
    <w:rsid w:val="002664EE"/>
    <w:rsid w:val="00267AFF"/>
    <w:rsid w:val="0027024D"/>
    <w:rsid w:val="00273AA1"/>
    <w:rsid w:val="00280146"/>
    <w:rsid w:val="00280455"/>
    <w:rsid w:val="0028089B"/>
    <w:rsid w:val="002808EF"/>
    <w:rsid w:val="00281B74"/>
    <w:rsid w:val="00282554"/>
    <w:rsid w:val="002861B0"/>
    <w:rsid w:val="0029190E"/>
    <w:rsid w:val="00292CC7"/>
    <w:rsid w:val="00292D6D"/>
    <w:rsid w:val="002951F3"/>
    <w:rsid w:val="00297D33"/>
    <w:rsid w:val="00297EC3"/>
    <w:rsid w:val="002A0794"/>
    <w:rsid w:val="002A17C6"/>
    <w:rsid w:val="002A2157"/>
    <w:rsid w:val="002A329A"/>
    <w:rsid w:val="002A4D00"/>
    <w:rsid w:val="002A5036"/>
    <w:rsid w:val="002B22A3"/>
    <w:rsid w:val="002B2E25"/>
    <w:rsid w:val="002B2FD6"/>
    <w:rsid w:val="002B45D8"/>
    <w:rsid w:val="002B6636"/>
    <w:rsid w:val="002B6A35"/>
    <w:rsid w:val="002B6D24"/>
    <w:rsid w:val="002B727F"/>
    <w:rsid w:val="002B7878"/>
    <w:rsid w:val="002B7B1E"/>
    <w:rsid w:val="002C0A68"/>
    <w:rsid w:val="002C0C51"/>
    <w:rsid w:val="002C20B5"/>
    <w:rsid w:val="002C353B"/>
    <w:rsid w:val="002C4787"/>
    <w:rsid w:val="002C5388"/>
    <w:rsid w:val="002C7F16"/>
    <w:rsid w:val="002D0652"/>
    <w:rsid w:val="002D2051"/>
    <w:rsid w:val="002D209E"/>
    <w:rsid w:val="002D239F"/>
    <w:rsid w:val="002D4048"/>
    <w:rsid w:val="002D459B"/>
    <w:rsid w:val="002D53DA"/>
    <w:rsid w:val="002D6EE8"/>
    <w:rsid w:val="002E0014"/>
    <w:rsid w:val="002E0B59"/>
    <w:rsid w:val="002E1DDA"/>
    <w:rsid w:val="002E76E9"/>
    <w:rsid w:val="002F0312"/>
    <w:rsid w:val="002F234D"/>
    <w:rsid w:val="002F2C3C"/>
    <w:rsid w:val="002F46C9"/>
    <w:rsid w:val="002F522F"/>
    <w:rsid w:val="002F5677"/>
    <w:rsid w:val="002F78F9"/>
    <w:rsid w:val="002F796A"/>
    <w:rsid w:val="00301025"/>
    <w:rsid w:val="00303003"/>
    <w:rsid w:val="00304DD3"/>
    <w:rsid w:val="00305D29"/>
    <w:rsid w:val="003063E7"/>
    <w:rsid w:val="00306591"/>
    <w:rsid w:val="00306ED1"/>
    <w:rsid w:val="00310E44"/>
    <w:rsid w:val="0031293C"/>
    <w:rsid w:val="00312E70"/>
    <w:rsid w:val="00313282"/>
    <w:rsid w:val="00313669"/>
    <w:rsid w:val="00316526"/>
    <w:rsid w:val="00317AD4"/>
    <w:rsid w:val="0032684C"/>
    <w:rsid w:val="00327B70"/>
    <w:rsid w:val="00330E30"/>
    <w:rsid w:val="0033527C"/>
    <w:rsid w:val="00336622"/>
    <w:rsid w:val="003377D2"/>
    <w:rsid w:val="0034097B"/>
    <w:rsid w:val="00341D24"/>
    <w:rsid w:val="0034255D"/>
    <w:rsid w:val="00342860"/>
    <w:rsid w:val="003433B3"/>
    <w:rsid w:val="003434FD"/>
    <w:rsid w:val="0034455C"/>
    <w:rsid w:val="00344E91"/>
    <w:rsid w:val="003466C7"/>
    <w:rsid w:val="0034694C"/>
    <w:rsid w:val="003516D4"/>
    <w:rsid w:val="00354A04"/>
    <w:rsid w:val="003555A2"/>
    <w:rsid w:val="0035701F"/>
    <w:rsid w:val="00357EDA"/>
    <w:rsid w:val="00362C24"/>
    <w:rsid w:val="003639E9"/>
    <w:rsid w:val="0036516F"/>
    <w:rsid w:val="003655CB"/>
    <w:rsid w:val="00367561"/>
    <w:rsid w:val="00367911"/>
    <w:rsid w:val="00370041"/>
    <w:rsid w:val="0037114D"/>
    <w:rsid w:val="00372AD9"/>
    <w:rsid w:val="00372B0D"/>
    <w:rsid w:val="00372D02"/>
    <w:rsid w:val="00373106"/>
    <w:rsid w:val="00373BB1"/>
    <w:rsid w:val="00376C3E"/>
    <w:rsid w:val="00382912"/>
    <w:rsid w:val="003836CF"/>
    <w:rsid w:val="00383B49"/>
    <w:rsid w:val="003876F1"/>
    <w:rsid w:val="003876FC"/>
    <w:rsid w:val="00391AEE"/>
    <w:rsid w:val="00391B1C"/>
    <w:rsid w:val="0039404C"/>
    <w:rsid w:val="00394B4A"/>
    <w:rsid w:val="003960E0"/>
    <w:rsid w:val="00397E96"/>
    <w:rsid w:val="003A0C9D"/>
    <w:rsid w:val="003A1285"/>
    <w:rsid w:val="003A39BF"/>
    <w:rsid w:val="003A6DC2"/>
    <w:rsid w:val="003B0B6A"/>
    <w:rsid w:val="003B0FC2"/>
    <w:rsid w:val="003B1A89"/>
    <w:rsid w:val="003B20F2"/>
    <w:rsid w:val="003B3694"/>
    <w:rsid w:val="003B5CB1"/>
    <w:rsid w:val="003B7011"/>
    <w:rsid w:val="003C071A"/>
    <w:rsid w:val="003C3A95"/>
    <w:rsid w:val="003C6A09"/>
    <w:rsid w:val="003D022D"/>
    <w:rsid w:val="003D2B46"/>
    <w:rsid w:val="003D388A"/>
    <w:rsid w:val="003D391A"/>
    <w:rsid w:val="003D7BF3"/>
    <w:rsid w:val="003E473A"/>
    <w:rsid w:val="003E6699"/>
    <w:rsid w:val="003E6C26"/>
    <w:rsid w:val="003E7FD2"/>
    <w:rsid w:val="003F2C0C"/>
    <w:rsid w:val="003F35A8"/>
    <w:rsid w:val="003F5D1D"/>
    <w:rsid w:val="003F6B6C"/>
    <w:rsid w:val="003F7CAF"/>
    <w:rsid w:val="003F7DA5"/>
    <w:rsid w:val="004024AE"/>
    <w:rsid w:val="0040318D"/>
    <w:rsid w:val="00406012"/>
    <w:rsid w:val="004223DB"/>
    <w:rsid w:val="00423EA0"/>
    <w:rsid w:val="004260A3"/>
    <w:rsid w:val="00427AED"/>
    <w:rsid w:val="0043127B"/>
    <w:rsid w:val="00431BBB"/>
    <w:rsid w:val="00434B90"/>
    <w:rsid w:val="00434F0B"/>
    <w:rsid w:val="00435C01"/>
    <w:rsid w:val="0043664E"/>
    <w:rsid w:val="00437012"/>
    <w:rsid w:val="00437242"/>
    <w:rsid w:val="00442351"/>
    <w:rsid w:val="004442A2"/>
    <w:rsid w:val="004453BB"/>
    <w:rsid w:val="00445840"/>
    <w:rsid w:val="00446935"/>
    <w:rsid w:val="00447C14"/>
    <w:rsid w:val="00453F12"/>
    <w:rsid w:val="004540B6"/>
    <w:rsid w:val="00454669"/>
    <w:rsid w:val="0045646B"/>
    <w:rsid w:val="00460753"/>
    <w:rsid w:val="004617EB"/>
    <w:rsid w:val="004624F7"/>
    <w:rsid w:val="00463762"/>
    <w:rsid w:val="00465378"/>
    <w:rsid w:val="004671E3"/>
    <w:rsid w:val="00467DC6"/>
    <w:rsid w:val="004744FA"/>
    <w:rsid w:val="004749D8"/>
    <w:rsid w:val="00475175"/>
    <w:rsid w:val="00477B0A"/>
    <w:rsid w:val="00480223"/>
    <w:rsid w:val="00483649"/>
    <w:rsid w:val="00483E97"/>
    <w:rsid w:val="004846B4"/>
    <w:rsid w:val="00484D79"/>
    <w:rsid w:val="00491734"/>
    <w:rsid w:val="00491A28"/>
    <w:rsid w:val="00493DF0"/>
    <w:rsid w:val="0049624E"/>
    <w:rsid w:val="00496E7E"/>
    <w:rsid w:val="00496F93"/>
    <w:rsid w:val="004A0207"/>
    <w:rsid w:val="004A1CFD"/>
    <w:rsid w:val="004A28D2"/>
    <w:rsid w:val="004B0D75"/>
    <w:rsid w:val="004B19E6"/>
    <w:rsid w:val="004C1BD0"/>
    <w:rsid w:val="004C4325"/>
    <w:rsid w:val="004C4493"/>
    <w:rsid w:val="004C5927"/>
    <w:rsid w:val="004C6820"/>
    <w:rsid w:val="004D0AA2"/>
    <w:rsid w:val="004D1304"/>
    <w:rsid w:val="004D2BD6"/>
    <w:rsid w:val="004D391F"/>
    <w:rsid w:val="004D7A82"/>
    <w:rsid w:val="004E08C6"/>
    <w:rsid w:val="004E13CD"/>
    <w:rsid w:val="004E1DC9"/>
    <w:rsid w:val="004E2EF3"/>
    <w:rsid w:val="004E75CE"/>
    <w:rsid w:val="004F2014"/>
    <w:rsid w:val="004F2DCD"/>
    <w:rsid w:val="004F35DB"/>
    <w:rsid w:val="004F4D79"/>
    <w:rsid w:val="004F7625"/>
    <w:rsid w:val="0050160E"/>
    <w:rsid w:val="005027F9"/>
    <w:rsid w:val="0050331E"/>
    <w:rsid w:val="00504065"/>
    <w:rsid w:val="00506505"/>
    <w:rsid w:val="0051045C"/>
    <w:rsid w:val="005129F6"/>
    <w:rsid w:val="00513AFB"/>
    <w:rsid w:val="0051513B"/>
    <w:rsid w:val="005156FB"/>
    <w:rsid w:val="00516332"/>
    <w:rsid w:val="0051636E"/>
    <w:rsid w:val="00516C91"/>
    <w:rsid w:val="0052092E"/>
    <w:rsid w:val="00520BDD"/>
    <w:rsid w:val="005213BD"/>
    <w:rsid w:val="00521F5F"/>
    <w:rsid w:val="00522079"/>
    <w:rsid w:val="0052310B"/>
    <w:rsid w:val="00523405"/>
    <w:rsid w:val="00523CDC"/>
    <w:rsid w:val="0052615D"/>
    <w:rsid w:val="0052796C"/>
    <w:rsid w:val="00527BD4"/>
    <w:rsid w:val="0053125B"/>
    <w:rsid w:val="0053441E"/>
    <w:rsid w:val="0053496E"/>
    <w:rsid w:val="00535F74"/>
    <w:rsid w:val="00536B8F"/>
    <w:rsid w:val="005415EE"/>
    <w:rsid w:val="00541C80"/>
    <w:rsid w:val="00541DDE"/>
    <w:rsid w:val="0054236E"/>
    <w:rsid w:val="00542DB0"/>
    <w:rsid w:val="00546360"/>
    <w:rsid w:val="005478DB"/>
    <w:rsid w:val="00550A9E"/>
    <w:rsid w:val="00553564"/>
    <w:rsid w:val="00553950"/>
    <w:rsid w:val="00555A7E"/>
    <w:rsid w:val="00556377"/>
    <w:rsid w:val="00556B61"/>
    <w:rsid w:val="005573C4"/>
    <w:rsid w:val="00564D86"/>
    <w:rsid w:val="00565E67"/>
    <w:rsid w:val="00566967"/>
    <w:rsid w:val="00570D75"/>
    <w:rsid w:val="00572ABE"/>
    <w:rsid w:val="00575711"/>
    <w:rsid w:val="005762E6"/>
    <w:rsid w:val="005766F4"/>
    <w:rsid w:val="00577B1F"/>
    <w:rsid w:val="0058145D"/>
    <w:rsid w:val="00581B35"/>
    <w:rsid w:val="00582AC6"/>
    <w:rsid w:val="00583A2D"/>
    <w:rsid w:val="00584D4B"/>
    <w:rsid w:val="00585A22"/>
    <w:rsid w:val="00585C38"/>
    <w:rsid w:val="005873A2"/>
    <w:rsid w:val="00591EBB"/>
    <w:rsid w:val="00593990"/>
    <w:rsid w:val="005A16E8"/>
    <w:rsid w:val="005A1B81"/>
    <w:rsid w:val="005A1D1B"/>
    <w:rsid w:val="005A297D"/>
    <w:rsid w:val="005A4662"/>
    <w:rsid w:val="005A5DCD"/>
    <w:rsid w:val="005A615F"/>
    <w:rsid w:val="005A7B46"/>
    <w:rsid w:val="005B1269"/>
    <w:rsid w:val="005B1355"/>
    <w:rsid w:val="005B1496"/>
    <w:rsid w:val="005B25C7"/>
    <w:rsid w:val="005B74DA"/>
    <w:rsid w:val="005C164E"/>
    <w:rsid w:val="005C20E4"/>
    <w:rsid w:val="005C4377"/>
    <w:rsid w:val="005C5214"/>
    <w:rsid w:val="005C61FE"/>
    <w:rsid w:val="005D1ABF"/>
    <w:rsid w:val="005D50F2"/>
    <w:rsid w:val="005D53EE"/>
    <w:rsid w:val="005D5B12"/>
    <w:rsid w:val="005D5BA2"/>
    <w:rsid w:val="005D66D9"/>
    <w:rsid w:val="005D7221"/>
    <w:rsid w:val="005D7373"/>
    <w:rsid w:val="005D7DF2"/>
    <w:rsid w:val="005E01BF"/>
    <w:rsid w:val="005E7AB0"/>
    <w:rsid w:val="005E7B3D"/>
    <w:rsid w:val="005F0871"/>
    <w:rsid w:val="005F2561"/>
    <w:rsid w:val="005F308E"/>
    <w:rsid w:val="005F41DD"/>
    <w:rsid w:val="005F4DA2"/>
    <w:rsid w:val="00600346"/>
    <w:rsid w:val="00600D4C"/>
    <w:rsid w:val="006029A6"/>
    <w:rsid w:val="00602EAD"/>
    <w:rsid w:val="006046AD"/>
    <w:rsid w:val="00604CF6"/>
    <w:rsid w:val="006066E0"/>
    <w:rsid w:val="00610264"/>
    <w:rsid w:val="00612DEF"/>
    <w:rsid w:val="00612FC6"/>
    <w:rsid w:val="006160A9"/>
    <w:rsid w:val="006206A9"/>
    <w:rsid w:val="00621B4F"/>
    <w:rsid w:val="0062216D"/>
    <w:rsid w:val="0062279C"/>
    <w:rsid w:val="006229E7"/>
    <w:rsid w:val="00625F3A"/>
    <w:rsid w:val="006306B4"/>
    <w:rsid w:val="00632B81"/>
    <w:rsid w:val="00633E1A"/>
    <w:rsid w:val="00633E39"/>
    <w:rsid w:val="006358D6"/>
    <w:rsid w:val="00636697"/>
    <w:rsid w:val="00644BFA"/>
    <w:rsid w:val="006516D5"/>
    <w:rsid w:val="00651972"/>
    <w:rsid w:val="00653180"/>
    <w:rsid w:val="006531D6"/>
    <w:rsid w:val="00653E75"/>
    <w:rsid w:val="00654A13"/>
    <w:rsid w:val="006579FB"/>
    <w:rsid w:val="00657A07"/>
    <w:rsid w:val="0066026E"/>
    <w:rsid w:val="006604F4"/>
    <w:rsid w:val="006607ED"/>
    <w:rsid w:val="00671F22"/>
    <w:rsid w:val="00672FB0"/>
    <w:rsid w:val="00673FD9"/>
    <w:rsid w:val="00674FDF"/>
    <w:rsid w:val="00675349"/>
    <w:rsid w:val="0067599F"/>
    <w:rsid w:val="00676000"/>
    <w:rsid w:val="0067704B"/>
    <w:rsid w:val="00677744"/>
    <w:rsid w:val="006805BD"/>
    <w:rsid w:val="00680B33"/>
    <w:rsid w:val="00682360"/>
    <w:rsid w:val="00684DBC"/>
    <w:rsid w:val="0068749B"/>
    <w:rsid w:val="00687D4C"/>
    <w:rsid w:val="00692007"/>
    <w:rsid w:val="00692FEC"/>
    <w:rsid w:val="006945FB"/>
    <w:rsid w:val="006951E7"/>
    <w:rsid w:val="00695D79"/>
    <w:rsid w:val="006962BB"/>
    <w:rsid w:val="00697757"/>
    <w:rsid w:val="006A04BE"/>
    <w:rsid w:val="006A0957"/>
    <w:rsid w:val="006A2BB4"/>
    <w:rsid w:val="006A3B21"/>
    <w:rsid w:val="006A4578"/>
    <w:rsid w:val="006A5024"/>
    <w:rsid w:val="006A7A1A"/>
    <w:rsid w:val="006A7F04"/>
    <w:rsid w:val="006B13EE"/>
    <w:rsid w:val="006B415D"/>
    <w:rsid w:val="006B47CA"/>
    <w:rsid w:val="006B48AC"/>
    <w:rsid w:val="006B4A54"/>
    <w:rsid w:val="006B531D"/>
    <w:rsid w:val="006B546B"/>
    <w:rsid w:val="006C0553"/>
    <w:rsid w:val="006C1BED"/>
    <w:rsid w:val="006C4417"/>
    <w:rsid w:val="006C5039"/>
    <w:rsid w:val="006C5D78"/>
    <w:rsid w:val="006C6BE8"/>
    <w:rsid w:val="006D02D2"/>
    <w:rsid w:val="006D2FE5"/>
    <w:rsid w:val="006D3464"/>
    <w:rsid w:val="006D61F6"/>
    <w:rsid w:val="006D671D"/>
    <w:rsid w:val="006D7D45"/>
    <w:rsid w:val="006E159F"/>
    <w:rsid w:val="006E1C6C"/>
    <w:rsid w:val="006E27CA"/>
    <w:rsid w:val="006E49D7"/>
    <w:rsid w:val="006E78A5"/>
    <w:rsid w:val="006F43CF"/>
    <w:rsid w:val="006F6AF4"/>
    <w:rsid w:val="006F7C40"/>
    <w:rsid w:val="007003D0"/>
    <w:rsid w:val="007006D7"/>
    <w:rsid w:val="0070181C"/>
    <w:rsid w:val="00704B88"/>
    <w:rsid w:val="007062A2"/>
    <w:rsid w:val="0070684E"/>
    <w:rsid w:val="007069F4"/>
    <w:rsid w:val="00707760"/>
    <w:rsid w:val="00707F85"/>
    <w:rsid w:val="00710D14"/>
    <w:rsid w:val="00711907"/>
    <w:rsid w:val="00711AC4"/>
    <w:rsid w:val="007160B8"/>
    <w:rsid w:val="007162C8"/>
    <w:rsid w:val="00720B30"/>
    <w:rsid w:val="0072213C"/>
    <w:rsid w:val="00722E1F"/>
    <w:rsid w:val="007236EC"/>
    <w:rsid w:val="007237EA"/>
    <w:rsid w:val="00724495"/>
    <w:rsid w:val="007255C0"/>
    <w:rsid w:val="007266FF"/>
    <w:rsid w:val="00726E4F"/>
    <w:rsid w:val="00730044"/>
    <w:rsid w:val="007306B8"/>
    <w:rsid w:val="007307BF"/>
    <w:rsid w:val="00730920"/>
    <w:rsid w:val="00730DC8"/>
    <w:rsid w:val="00731592"/>
    <w:rsid w:val="00731B60"/>
    <w:rsid w:val="00731E81"/>
    <w:rsid w:val="007321E2"/>
    <w:rsid w:val="00733150"/>
    <w:rsid w:val="00733875"/>
    <w:rsid w:val="00736BC9"/>
    <w:rsid w:val="0073753D"/>
    <w:rsid w:val="00741B23"/>
    <w:rsid w:val="00744441"/>
    <w:rsid w:val="007452B9"/>
    <w:rsid w:val="007456BA"/>
    <w:rsid w:val="00746CFE"/>
    <w:rsid w:val="00747E59"/>
    <w:rsid w:val="007508B1"/>
    <w:rsid w:val="0075389D"/>
    <w:rsid w:val="0075522F"/>
    <w:rsid w:val="0075637F"/>
    <w:rsid w:val="00757719"/>
    <w:rsid w:val="00760817"/>
    <w:rsid w:val="007633C0"/>
    <w:rsid w:val="00770A8A"/>
    <w:rsid w:val="00770D1F"/>
    <w:rsid w:val="00771CC1"/>
    <w:rsid w:val="00774A95"/>
    <w:rsid w:val="007751DA"/>
    <w:rsid w:val="007778A8"/>
    <w:rsid w:val="00781955"/>
    <w:rsid w:val="00783BBD"/>
    <w:rsid w:val="007840B1"/>
    <w:rsid w:val="007842E8"/>
    <w:rsid w:val="007876B9"/>
    <w:rsid w:val="0079130A"/>
    <w:rsid w:val="00792006"/>
    <w:rsid w:val="00797727"/>
    <w:rsid w:val="00797DC9"/>
    <w:rsid w:val="007A18F9"/>
    <w:rsid w:val="007A26BD"/>
    <w:rsid w:val="007A2F59"/>
    <w:rsid w:val="007A3ED0"/>
    <w:rsid w:val="007A4381"/>
    <w:rsid w:val="007A44A4"/>
    <w:rsid w:val="007A4709"/>
    <w:rsid w:val="007A5879"/>
    <w:rsid w:val="007A5C99"/>
    <w:rsid w:val="007A7F15"/>
    <w:rsid w:val="007B2A85"/>
    <w:rsid w:val="007B50B6"/>
    <w:rsid w:val="007B728B"/>
    <w:rsid w:val="007C23D5"/>
    <w:rsid w:val="007C503A"/>
    <w:rsid w:val="007C6146"/>
    <w:rsid w:val="007D1B35"/>
    <w:rsid w:val="007D2863"/>
    <w:rsid w:val="007D2B3F"/>
    <w:rsid w:val="007D301D"/>
    <w:rsid w:val="007D4EEE"/>
    <w:rsid w:val="007D7351"/>
    <w:rsid w:val="007E06A4"/>
    <w:rsid w:val="007E09C2"/>
    <w:rsid w:val="007E126B"/>
    <w:rsid w:val="007E22F5"/>
    <w:rsid w:val="007E63A7"/>
    <w:rsid w:val="007E681E"/>
    <w:rsid w:val="007E70F6"/>
    <w:rsid w:val="007F3042"/>
    <w:rsid w:val="007F489C"/>
    <w:rsid w:val="007F4D78"/>
    <w:rsid w:val="007F591A"/>
    <w:rsid w:val="007F5B6E"/>
    <w:rsid w:val="007F7F21"/>
    <w:rsid w:val="00800001"/>
    <w:rsid w:val="008024BC"/>
    <w:rsid w:val="00803475"/>
    <w:rsid w:val="008051FB"/>
    <w:rsid w:val="00807741"/>
    <w:rsid w:val="0081777D"/>
    <w:rsid w:val="00820B91"/>
    <w:rsid w:val="00821A93"/>
    <w:rsid w:val="00826319"/>
    <w:rsid w:val="00826FC9"/>
    <w:rsid w:val="0082730C"/>
    <w:rsid w:val="00831BB0"/>
    <w:rsid w:val="0083204C"/>
    <w:rsid w:val="008339C0"/>
    <w:rsid w:val="00834193"/>
    <w:rsid w:val="00834AA6"/>
    <w:rsid w:val="008355E9"/>
    <w:rsid w:val="0083678C"/>
    <w:rsid w:val="008375EA"/>
    <w:rsid w:val="00840100"/>
    <w:rsid w:val="008408B8"/>
    <w:rsid w:val="00840DC1"/>
    <w:rsid w:val="00842CEC"/>
    <w:rsid w:val="008443E6"/>
    <w:rsid w:val="008444C0"/>
    <w:rsid w:val="00845EB0"/>
    <w:rsid w:val="00846757"/>
    <w:rsid w:val="008524F8"/>
    <w:rsid w:val="008525BD"/>
    <w:rsid w:val="00852641"/>
    <w:rsid w:val="00853695"/>
    <w:rsid w:val="00853B71"/>
    <w:rsid w:val="00855D19"/>
    <w:rsid w:val="0086159C"/>
    <w:rsid w:val="00861D56"/>
    <w:rsid w:val="00862E20"/>
    <w:rsid w:val="00862F02"/>
    <w:rsid w:val="00863FE4"/>
    <w:rsid w:val="00865E0B"/>
    <w:rsid w:val="008672CA"/>
    <w:rsid w:val="00867883"/>
    <w:rsid w:val="008678EC"/>
    <w:rsid w:val="008716F2"/>
    <w:rsid w:val="00881973"/>
    <w:rsid w:val="008825C3"/>
    <w:rsid w:val="00886CFB"/>
    <w:rsid w:val="00891FAE"/>
    <w:rsid w:val="0089257E"/>
    <w:rsid w:val="00892CF0"/>
    <w:rsid w:val="0089436A"/>
    <w:rsid w:val="00894383"/>
    <w:rsid w:val="00895498"/>
    <w:rsid w:val="008965B8"/>
    <w:rsid w:val="00896EDF"/>
    <w:rsid w:val="008A1E2B"/>
    <w:rsid w:val="008A27C1"/>
    <w:rsid w:val="008A2A74"/>
    <w:rsid w:val="008A438F"/>
    <w:rsid w:val="008A4A33"/>
    <w:rsid w:val="008A4F04"/>
    <w:rsid w:val="008A4F4E"/>
    <w:rsid w:val="008A50B1"/>
    <w:rsid w:val="008A655D"/>
    <w:rsid w:val="008A68C0"/>
    <w:rsid w:val="008B0659"/>
    <w:rsid w:val="008B1430"/>
    <w:rsid w:val="008B243A"/>
    <w:rsid w:val="008B2705"/>
    <w:rsid w:val="008B4684"/>
    <w:rsid w:val="008B52AA"/>
    <w:rsid w:val="008B5C2B"/>
    <w:rsid w:val="008B72CC"/>
    <w:rsid w:val="008B7B53"/>
    <w:rsid w:val="008B7ECA"/>
    <w:rsid w:val="008C18D3"/>
    <w:rsid w:val="008C1F31"/>
    <w:rsid w:val="008C311E"/>
    <w:rsid w:val="008C3BF7"/>
    <w:rsid w:val="008C3EB5"/>
    <w:rsid w:val="008C44D7"/>
    <w:rsid w:val="008C7072"/>
    <w:rsid w:val="008D0138"/>
    <w:rsid w:val="008D0B5D"/>
    <w:rsid w:val="008D3243"/>
    <w:rsid w:val="008D5679"/>
    <w:rsid w:val="008E11F4"/>
    <w:rsid w:val="008E21BB"/>
    <w:rsid w:val="008E3C10"/>
    <w:rsid w:val="008E52F2"/>
    <w:rsid w:val="008E7EDF"/>
    <w:rsid w:val="008F0C7C"/>
    <w:rsid w:val="008F1B7D"/>
    <w:rsid w:val="008F319F"/>
    <w:rsid w:val="008F5D9F"/>
    <w:rsid w:val="008F5E99"/>
    <w:rsid w:val="008F6788"/>
    <w:rsid w:val="008F6DD9"/>
    <w:rsid w:val="008F6FB2"/>
    <w:rsid w:val="00900530"/>
    <w:rsid w:val="00902F8F"/>
    <w:rsid w:val="009037D9"/>
    <w:rsid w:val="00904809"/>
    <w:rsid w:val="009069F2"/>
    <w:rsid w:val="00907420"/>
    <w:rsid w:val="009157B3"/>
    <w:rsid w:val="00916417"/>
    <w:rsid w:val="00916FED"/>
    <w:rsid w:val="009207A5"/>
    <w:rsid w:val="00925729"/>
    <w:rsid w:val="00930719"/>
    <w:rsid w:val="00930E5D"/>
    <w:rsid w:val="00932C51"/>
    <w:rsid w:val="00934B35"/>
    <w:rsid w:val="00935155"/>
    <w:rsid w:val="00937996"/>
    <w:rsid w:val="00940F4B"/>
    <w:rsid w:val="00941DDD"/>
    <w:rsid w:val="00942D12"/>
    <w:rsid w:val="00942F30"/>
    <w:rsid w:val="009437C8"/>
    <w:rsid w:val="00945B0F"/>
    <w:rsid w:val="00947837"/>
    <w:rsid w:val="009506A0"/>
    <w:rsid w:val="00951FE8"/>
    <w:rsid w:val="00954192"/>
    <w:rsid w:val="00954B88"/>
    <w:rsid w:val="00955BA1"/>
    <w:rsid w:val="009567BB"/>
    <w:rsid w:val="00960C7E"/>
    <w:rsid w:val="00960DD1"/>
    <w:rsid w:val="009612F9"/>
    <w:rsid w:val="00961962"/>
    <w:rsid w:val="00961D05"/>
    <w:rsid w:val="00961D30"/>
    <w:rsid w:val="009629B0"/>
    <w:rsid w:val="00963D33"/>
    <w:rsid w:val="00965FB7"/>
    <w:rsid w:val="00966F47"/>
    <w:rsid w:val="00973641"/>
    <w:rsid w:val="00974622"/>
    <w:rsid w:val="00975F7D"/>
    <w:rsid w:val="009762FF"/>
    <w:rsid w:val="0097647C"/>
    <w:rsid w:val="00981489"/>
    <w:rsid w:val="0098324B"/>
    <w:rsid w:val="009840CE"/>
    <w:rsid w:val="0098498F"/>
    <w:rsid w:val="00984A1C"/>
    <w:rsid w:val="00986DFB"/>
    <w:rsid w:val="0099211D"/>
    <w:rsid w:val="00993B71"/>
    <w:rsid w:val="00997632"/>
    <w:rsid w:val="009A0E32"/>
    <w:rsid w:val="009A442D"/>
    <w:rsid w:val="009A6CFB"/>
    <w:rsid w:val="009B0674"/>
    <w:rsid w:val="009B263B"/>
    <w:rsid w:val="009B6FFE"/>
    <w:rsid w:val="009C09D4"/>
    <w:rsid w:val="009C107F"/>
    <w:rsid w:val="009C27AF"/>
    <w:rsid w:val="009C3E48"/>
    <w:rsid w:val="009C4BD8"/>
    <w:rsid w:val="009C76CA"/>
    <w:rsid w:val="009C781B"/>
    <w:rsid w:val="009D211B"/>
    <w:rsid w:val="009D4B74"/>
    <w:rsid w:val="009D5123"/>
    <w:rsid w:val="009D62BE"/>
    <w:rsid w:val="009D6488"/>
    <w:rsid w:val="009D747F"/>
    <w:rsid w:val="009D76F4"/>
    <w:rsid w:val="009E25CC"/>
    <w:rsid w:val="009E47FB"/>
    <w:rsid w:val="009E50B2"/>
    <w:rsid w:val="009E68C8"/>
    <w:rsid w:val="009E7773"/>
    <w:rsid w:val="009F1337"/>
    <w:rsid w:val="009F1ED3"/>
    <w:rsid w:val="009F530B"/>
    <w:rsid w:val="009F6E2D"/>
    <w:rsid w:val="00A00B7C"/>
    <w:rsid w:val="00A017FA"/>
    <w:rsid w:val="00A0517F"/>
    <w:rsid w:val="00A079FE"/>
    <w:rsid w:val="00A126CD"/>
    <w:rsid w:val="00A13DBA"/>
    <w:rsid w:val="00A14F75"/>
    <w:rsid w:val="00A1537E"/>
    <w:rsid w:val="00A1637F"/>
    <w:rsid w:val="00A1727D"/>
    <w:rsid w:val="00A21E52"/>
    <w:rsid w:val="00A2241F"/>
    <w:rsid w:val="00A22E30"/>
    <w:rsid w:val="00A32529"/>
    <w:rsid w:val="00A339E1"/>
    <w:rsid w:val="00A3400B"/>
    <w:rsid w:val="00A34424"/>
    <w:rsid w:val="00A353EB"/>
    <w:rsid w:val="00A37B24"/>
    <w:rsid w:val="00A37B45"/>
    <w:rsid w:val="00A40F4E"/>
    <w:rsid w:val="00A4166E"/>
    <w:rsid w:val="00A416A8"/>
    <w:rsid w:val="00A42503"/>
    <w:rsid w:val="00A428C5"/>
    <w:rsid w:val="00A44186"/>
    <w:rsid w:val="00A44C41"/>
    <w:rsid w:val="00A44DBC"/>
    <w:rsid w:val="00A46AC9"/>
    <w:rsid w:val="00A52919"/>
    <w:rsid w:val="00A53E5D"/>
    <w:rsid w:val="00A54252"/>
    <w:rsid w:val="00A5598C"/>
    <w:rsid w:val="00A5639C"/>
    <w:rsid w:val="00A5718F"/>
    <w:rsid w:val="00A60AC5"/>
    <w:rsid w:val="00A702C1"/>
    <w:rsid w:val="00A703DE"/>
    <w:rsid w:val="00A71DF2"/>
    <w:rsid w:val="00A74D8A"/>
    <w:rsid w:val="00A761D1"/>
    <w:rsid w:val="00A8046E"/>
    <w:rsid w:val="00A83D2D"/>
    <w:rsid w:val="00A864FE"/>
    <w:rsid w:val="00A86A3D"/>
    <w:rsid w:val="00A8727D"/>
    <w:rsid w:val="00A909BD"/>
    <w:rsid w:val="00A90A81"/>
    <w:rsid w:val="00A90B15"/>
    <w:rsid w:val="00A91CE1"/>
    <w:rsid w:val="00A9382E"/>
    <w:rsid w:val="00A93D69"/>
    <w:rsid w:val="00A946B0"/>
    <w:rsid w:val="00A972B4"/>
    <w:rsid w:val="00A97A9C"/>
    <w:rsid w:val="00AA0E68"/>
    <w:rsid w:val="00AA36B0"/>
    <w:rsid w:val="00AA3FC3"/>
    <w:rsid w:val="00AA50DF"/>
    <w:rsid w:val="00AA6C55"/>
    <w:rsid w:val="00AA7718"/>
    <w:rsid w:val="00AB1BC8"/>
    <w:rsid w:val="00AB23FE"/>
    <w:rsid w:val="00AB273B"/>
    <w:rsid w:val="00AB3F32"/>
    <w:rsid w:val="00AB6455"/>
    <w:rsid w:val="00AB6D5E"/>
    <w:rsid w:val="00AB7AB7"/>
    <w:rsid w:val="00AC164C"/>
    <w:rsid w:val="00AC19A4"/>
    <w:rsid w:val="00AC3BE5"/>
    <w:rsid w:val="00AC3C1A"/>
    <w:rsid w:val="00AC6340"/>
    <w:rsid w:val="00AC7449"/>
    <w:rsid w:val="00AC78AD"/>
    <w:rsid w:val="00AD09C2"/>
    <w:rsid w:val="00AD0B6C"/>
    <w:rsid w:val="00AD23AA"/>
    <w:rsid w:val="00AD33B3"/>
    <w:rsid w:val="00AD3A8E"/>
    <w:rsid w:val="00AD6125"/>
    <w:rsid w:val="00AD67E6"/>
    <w:rsid w:val="00AE7EF1"/>
    <w:rsid w:val="00AF144D"/>
    <w:rsid w:val="00AF28BE"/>
    <w:rsid w:val="00AF4724"/>
    <w:rsid w:val="00AF59E5"/>
    <w:rsid w:val="00AF69A0"/>
    <w:rsid w:val="00AF7038"/>
    <w:rsid w:val="00B00E27"/>
    <w:rsid w:val="00B02082"/>
    <w:rsid w:val="00B0226E"/>
    <w:rsid w:val="00B05D08"/>
    <w:rsid w:val="00B10759"/>
    <w:rsid w:val="00B1269B"/>
    <w:rsid w:val="00B1323C"/>
    <w:rsid w:val="00B13419"/>
    <w:rsid w:val="00B1632F"/>
    <w:rsid w:val="00B2094B"/>
    <w:rsid w:val="00B26FC4"/>
    <w:rsid w:val="00B32022"/>
    <w:rsid w:val="00B401DD"/>
    <w:rsid w:val="00B44242"/>
    <w:rsid w:val="00B459C7"/>
    <w:rsid w:val="00B462DB"/>
    <w:rsid w:val="00B50E14"/>
    <w:rsid w:val="00B535B5"/>
    <w:rsid w:val="00B54451"/>
    <w:rsid w:val="00B56DBD"/>
    <w:rsid w:val="00B56DC2"/>
    <w:rsid w:val="00B57961"/>
    <w:rsid w:val="00B6202F"/>
    <w:rsid w:val="00B622EC"/>
    <w:rsid w:val="00B63178"/>
    <w:rsid w:val="00B63B88"/>
    <w:rsid w:val="00B65D0A"/>
    <w:rsid w:val="00B67E6F"/>
    <w:rsid w:val="00B80611"/>
    <w:rsid w:val="00B8143E"/>
    <w:rsid w:val="00B8705D"/>
    <w:rsid w:val="00B87C2F"/>
    <w:rsid w:val="00B93274"/>
    <w:rsid w:val="00B942F6"/>
    <w:rsid w:val="00B946BB"/>
    <w:rsid w:val="00B95989"/>
    <w:rsid w:val="00B963B9"/>
    <w:rsid w:val="00BA0057"/>
    <w:rsid w:val="00BA2387"/>
    <w:rsid w:val="00BA2954"/>
    <w:rsid w:val="00BB10E7"/>
    <w:rsid w:val="00BB1371"/>
    <w:rsid w:val="00BB3024"/>
    <w:rsid w:val="00BB401A"/>
    <w:rsid w:val="00BB4815"/>
    <w:rsid w:val="00BB5DB2"/>
    <w:rsid w:val="00BC23B7"/>
    <w:rsid w:val="00BC3BB2"/>
    <w:rsid w:val="00BC4DF6"/>
    <w:rsid w:val="00BC52F1"/>
    <w:rsid w:val="00BC78FF"/>
    <w:rsid w:val="00BC7C24"/>
    <w:rsid w:val="00BC7D9D"/>
    <w:rsid w:val="00BD08DA"/>
    <w:rsid w:val="00BD47AC"/>
    <w:rsid w:val="00BE0678"/>
    <w:rsid w:val="00BE0A84"/>
    <w:rsid w:val="00BE0ED5"/>
    <w:rsid w:val="00BE32A6"/>
    <w:rsid w:val="00BE674D"/>
    <w:rsid w:val="00BE71AB"/>
    <w:rsid w:val="00BE77AE"/>
    <w:rsid w:val="00BE7886"/>
    <w:rsid w:val="00BF14D6"/>
    <w:rsid w:val="00BF173A"/>
    <w:rsid w:val="00BF26C1"/>
    <w:rsid w:val="00BF2DB5"/>
    <w:rsid w:val="00BF34A9"/>
    <w:rsid w:val="00BF5B89"/>
    <w:rsid w:val="00BF6189"/>
    <w:rsid w:val="00C02E0F"/>
    <w:rsid w:val="00C03524"/>
    <w:rsid w:val="00C03F51"/>
    <w:rsid w:val="00C05409"/>
    <w:rsid w:val="00C06142"/>
    <w:rsid w:val="00C073EA"/>
    <w:rsid w:val="00C16DD4"/>
    <w:rsid w:val="00C225B3"/>
    <w:rsid w:val="00C229B7"/>
    <w:rsid w:val="00C2477B"/>
    <w:rsid w:val="00C25219"/>
    <w:rsid w:val="00C25369"/>
    <w:rsid w:val="00C25679"/>
    <w:rsid w:val="00C25D65"/>
    <w:rsid w:val="00C27904"/>
    <w:rsid w:val="00C30A6D"/>
    <w:rsid w:val="00C315D7"/>
    <w:rsid w:val="00C328D6"/>
    <w:rsid w:val="00C33DD5"/>
    <w:rsid w:val="00C35DCE"/>
    <w:rsid w:val="00C35FF6"/>
    <w:rsid w:val="00C3625C"/>
    <w:rsid w:val="00C403F1"/>
    <w:rsid w:val="00C40867"/>
    <w:rsid w:val="00C4239A"/>
    <w:rsid w:val="00C4280A"/>
    <w:rsid w:val="00C43DFA"/>
    <w:rsid w:val="00C44575"/>
    <w:rsid w:val="00C45400"/>
    <w:rsid w:val="00C45666"/>
    <w:rsid w:val="00C46412"/>
    <w:rsid w:val="00C4732E"/>
    <w:rsid w:val="00C473AD"/>
    <w:rsid w:val="00C52B7F"/>
    <w:rsid w:val="00C52D90"/>
    <w:rsid w:val="00C53206"/>
    <w:rsid w:val="00C54067"/>
    <w:rsid w:val="00C545F2"/>
    <w:rsid w:val="00C55250"/>
    <w:rsid w:val="00C57736"/>
    <w:rsid w:val="00C57929"/>
    <w:rsid w:val="00C62122"/>
    <w:rsid w:val="00C62A27"/>
    <w:rsid w:val="00C633F1"/>
    <w:rsid w:val="00C65808"/>
    <w:rsid w:val="00C67335"/>
    <w:rsid w:val="00C75F13"/>
    <w:rsid w:val="00C7722C"/>
    <w:rsid w:val="00C7766B"/>
    <w:rsid w:val="00C83C84"/>
    <w:rsid w:val="00C846D2"/>
    <w:rsid w:val="00C84D88"/>
    <w:rsid w:val="00C86F7A"/>
    <w:rsid w:val="00C87365"/>
    <w:rsid w:val="00C87873"/>
    <w:rsid w:val="00C9167D"/>
    <w:rsid w:val="00C925D3"/>
    <w:rsid w:val="00C927F1"/>
    <w:rsid w:val="00C92A2C"/>
    <w:rsid w:val="00C93664"/>
    <w:rsid w:val="00C954B8"/>
    <w:rsid w:val="00C96D21"/>
    <w:rsid w:val="00C974CE"/>
    <w:rsid w:val="00C97D70"/>
    <w:rsid w:val="00CA4C64"/>
    <w:rsid w:val="00CA652B"/>
    <w:rsid w:val="00CB149C"/>
    <w:rsid w:val="00CB1D36"/>
    <w:rsid w:val="00CB3282"/>
    <w:rsid w:val="00CB3D56"/>
    <w:rsid w:val="00CB52A2"/>
    <w:rsid w:val="00CB56C1"/>
    <w:rsid w:val="00CC13B8"/>
    <w:rsid w:val="00CC27B1"/>
    <w:rsid w:val="00CC29F0"/>
    <w:rsid w:val="00CC3C3B"/>
    <w:rsid w:val="00CC4648"/>
    <w:rsid w:val="00CC5EFB"/>
    <w:rsid w:val="00CC72F7"/>
    <w:rsid w:val="00CD6365"/>
    <w:rsid w:val="00CD7CFA"/>
    <w:rsid w:val="00CE27B9"/>
    <w:rsid w:val="00CE30EF"/>
    <w:rsid w:val="00CE3638"/>
    <w:rsid w:val="00CE384E"/>
    <w:rsid w:val="00CE7819"/>
    <w:rsid w:val="00CE7E05"/>
    <w:rsid w:val="00CF035A"/>
    <w:rsid w:val="00CF08EE"/>
    <w:rsid w:val="00CF0E85"/>
    <w:rsid w:val="00CF2006"/>
    <w:rsid w:val="00CF3E7C"/>
    <w:rsid w:val="00CF3E8D"/>
    <w:rsid w:val="00CF4977"/>
    <w:rsid w:val="00CF5027"/>
    <w:rsid w:val="00CF6103"/>
    <w:rsid w:val="00CF62BB"/>
    <w:rsid w:val="00CF6906"/>
    <w:rsid w:val="00D0015E"/>
    <w:rsid w:val="00D02732"/>
    <w:rsid w:val="00D041C0"/>
    <w:rsid w:val="00D04962"/>
    <w:rsid w:val="00D053B2"/>
    <w:rsid w:val="00D05E0C"/>
    <w:rsid w:val="00D1064B"/>
    <w:rsid w:val="00D10F84"/>
    <w:rsid w:val="00D13671"/>
    <w:rsid w:val="00D1464E"/>
    <w:rsid w:val="00D15D5A"/>
    <w:rsid w:val="00D2039E"/>
    <w:rsid w:val="00D22624"/>
    <w:rsid w:val="00D23BDA"/>
    <w:rsid w:val="00D24200"/>
    <w:rsid w:val="00D3043B"/>
    <w:rsid w:val="00D3244B"/>
    <w:rsid w:val="00D341B2"/>
    <w:rsid w:val="00D4322A"/>
    <w:rsid w:val="00D439F7"/>
    <w:rsid w:val="00D446C4"/>
    <w:rsid w:val="00D448CF"/>
    <w:rsid w:val="00D45C36"/>
    <w:rsid w:val="00D462FC"/>
    <w:rsid w:val="00D46569"/>
    <w:rsid w:val="00D46D1F"/>
    <w:rsid w:val="00D47737"/>
    <w:rsid w:val="00D51948"/>
    <w:rsid w:val="00D51A00"/>
    <w:rsid w:val="00D5283B"/>
    <w:rsid w:val="00D55C92"/>
    <w:rsid w:val="00D574C9"/>
    <w:rsid w:val="00D604C4"/>
    <w:rsid w:val="00D62005"/>
    <w:rsid w:val="00D62B1F"/>
    <w:rsid w:val="00D635C9"/>
    <w:rsid w:val="00D648C5"/>
    <w:rsid w:val="00D64A91"/>
    <w:rsid w:val="00D66C82"/>
    <w:rsid w:val="00D6748D"/>
    <w:rsid w:val="00D678EB"/>
    <w:rsid w:val="00D70952"/>
    <w:rsid w:val="00D70EF0"/>
    <w:rsid w:val="00D7275E"/>
    <w:rsid w:val="00D73643"/>
    <w:rsid w:val="00D73CE5"/>
    <w:rsid w:val="00D7404F"/>
    <w:rsid w:val="00D74D78"/>
    <w:rsid w:val="00D769A7"/>
    <w:rsid w:val="00D77AF5"/>
    <w:rsid w:val="00D804ED"/>
    <w:rsid w:val="00D8381C"/>
    <w:rsid w:val="00D8399E"/>
    <w:rsid w:val="00D84166"/>
    <w:rsid w:val="00D844BD"/>
    <w:rsid w:val="00D87373"/>
    <w:rsid w:val="00D9049C"/>
    <w:rsid w:val="00D930C6"/>
    <w:rsid w:val="00D93B13"/>
    <w:rsid w:val="00D95441"/>
    <w:rsid w:val="00D95CAF"/>
    <w:rsid w:val="00D966DF"/>
    <w:rsid w:val="00D96CA6"/>
    <w:rsid w:val="00DA0B0F"/>
    <w:rsid w:val="00DA1A6F"/>
    <w:rsid w:val="00DA3709"/>
    <w:rsid w:val="00DA4FE6"/>
    <w:rsid w:val="00DB1DBC"/>
    <w:rsid w:val="00DB4667"/>
    <w:rsid w:val="00DB47AC"/>
    <w:rsid w:val="00DB4E70"/>
    <w:rsid w:val="00DB57E3"/>
    <w:rsid w:val="00DB6DA8"/>
    <w:rsid w:val="00DC243A"/>
    <w:rsid w:val="00DC2AF4"/>
    <w:rsid w:val="00DC4003"/>
    <w:rsid w:val="00DC580D"/>
    <w:rsid w:val="00DC5F03"/>
    <w:rsid w:val="00DC7487"/>
    <w:rsid w:val="00DC7849"/>
    <w:rsid w:val="00DD2222"/>
    <w:rsid w:val="00DD2E43"/>
    <w:rsid w:val="00DE4BC5"/>
    <w:rsid w:val="00DE4DE3"/>
    <w:rsid w:val="00DF373D"/>
    <w:rsid w:val="00DF4D10"/>
    <w:rsid w:val="00DF7449"/>
    <w:rsid w:val="00E00CC4"/>
    <w:rsid w:val="00E0396B"/>
    <w:rsid w:val="00E07158"/>
    <w:rsid w:val="00E10693"/>
    <w:rsid w:val="00E107F4"/>
    <w:rsid w:val="00E10931"/>
    <w:rsid w:val="00E13694"/>
    <w:rsid w:val="00E13CB7"/>
    <w:rsid w:val="00E17480"/>
    <w:rsid w:val="00E2122B"/>
    <w:rsid w:val="00E23218"/>
    <w:rsid w:val="00E25482"/>
    <w:rsid w:val="00E25BD0"/>
    <w:rsid w:val="00E2614F"/>
    <w:rsid w:val="00E31865"/>
    <w:rsid w:val="00E32406"/>
    <w:rsid w:val="00E334E6"/>
    <w:rsid w:val="00E33E28"/>
    <w:rsid w:val="00E37605"/>
    <w:rsid w:val="00E41E36"/>
    <w:rsid w:val="00E4505C"/>
    <w:rsid w:val="00E45235"/>
    <w:rsid w:val="00E456C5"/>
    <w:rsid w:val="00E47959"/>
    <w:rsid w:val="00E513F5"/>
    <w:rsid w:val="00E51B53"/>
    <w:rsid w:val="00E53F1E"/>
    <w:rsid w:val="00E5417E"/>
    <w:rsid w:val="00E550BD"/>
    <w:rsid w:val="00E6008F"/>
    <w:rsid w:val="00E60D11"/>
    <w:rsid w:val="00E6239B"/>
    <w:rsid w:val="00E62758"/>
    <w:rsid w:val="00E63F83"/>
    <w:rsid w:val="00E64A48"/>
    <w:rsid w:val="00E65E35"/>
    <w:rsid w:val="00E707EB"/>
    <w:rsid w:val="00E70F90"/>
    <w:rsid w:val="00E71D9C"/>
    <w:rsid w:val="00E737FE"/>
    <w:rsid w:val="00E74380"/>
    <w:rsid w:val="00E768FC"/>
    <w:rsid w:val="00E76D29"/>
    <w:rsid w:val="00E81818"/>
    <w:rsid w:val="00E84855"/>
    <w:rsid w:val="00E861F5"/>
    <w:rsid w:val="00E90577"/>
    <w:rsid w:val="00E935D8"/>
    <w:rsid w:val="00E93E9D"/>
    <w:rsid w:val="00E945C8"/>
    <w:rsid w:val="00E956C7"/>
    <w:rsid w:val="00EA028F"/>
    <w:rsid w:val="00EA6A89"/>
    <w:rsid w:val="00EB13E5"/>
    <w:rsid w:val="00EB1701"/>
    <w:rsid w:val="00EB2BA6"/>
    <w:rsid w:val="00EB50A8"/>
    <w:rsid w:val="00EB6895"/>
    <w:rsid w:val="00EC00BF"/>
    <w:rsid w:val="00EC4009"/>
    <w:rsid w:val="00EC5F8F"/>
    <w:rsid w:val="00EC7438"/>
    <w:rsid w:val="00ED1779"/>
    <w:rsid w:val="00ED1D7B"/>
    <w:rsid w:val="00ED61A5"/>
    <w:rsid w:val="00ED63FE"/>
    <w:rsid w:val="00EE11CD"/>
    <w:rsid w:val="00EE2F55"/>
    <w:rsid w:val="00EE309B"/>
    <w:rsid w:val="00EE5170"/>
    <w:rsid w:val="00EE6B39"/>
    <w:rsid w:val="00EF046F"/>
    <w:rsid w:val="00EF04DA"/>
    <w:rsid w:val="00EF378E"/>
    <w:rsid w:val="00EF4A1F"/>
    <w:rsid w:val="00EF779D"/>
    <w:rsid w:val="00F009C4"/>
    <w:rsid w:val="00F016F7"/>
    <w:rsid w:val="00F0215B"/>
    <w:rsid w:val="00F03659"/>
    <w:rsid w:val="00F04367"/>
    <w:rsid w:val="00F1147F"/>
    <w:rsid w:val="00F129CD"/>
    <w:rsid w:val="00F12F3B"/>
    <w:rsid w:val="00F133E6"/>
    <w:rsid w:val="00F14BD1"/>
    <w:rsid w:val="00F15E84"/>
    <w:rsid w:val="00F169BC"/>
    <w:rsid w:val="00F16B40"/>
    <w:rsid w:val="00F219D0"/>
    <w:rsid w:val="00F2264B"/>
    <w:rsid w:val="00F32537"/>
    <w:rsid w:val="00F33D28"/>
    <w:rsid w:val="00F34618"/>
    <w:rsid w:val="00F34A00"/>
    <w:rsid w:val="00F34C6D"/>
    <w:rsid w:val="00F3578E"/>
    <w:rsid w:val="00F36927"/>
    <w:rsid w:val="00F40799"/>
    <w:rsid w:val="00F42320"/>
    <w:rsid w:val="00F44275"/>
    <w:rsid w:val="00F46E78"/>
    <w:rsid w:val="00F50373"/>
    <w:rsid w:val="00F5115D"/>
    <w:rsid w:val="00F51A31"/>
    <w:rsid w:val="00F538CC"/>
    <w:rsid w:val="00F545F8"/>
    <w:rsid w:val="00F55798"/>
    <w:rsid w:val="00F55B05"/>
    <w:rsid w:val="00F61BD0"/>
    <w:rsid w:val="00F62D14"/>
    <w:rsid w:val="00F64F49"/>
    <w:rsid w:val="00F653ED"/>
    <w:rsid w:val="00F6651C"/>
    <w:rsid w:val="00F66905"/>
    <w:rsid w:val="00F70B62"/>
    <w:rsid w:val="00F71D31"/>
    <w:rsid w:val="00F7289A"/>
    <w:rsid w:val="00F74E52"/>
    <w:rsid w:val="00F766D5"/>
    <w:rsid w:val="00F83CE9"/>
    <w:rsid w:val="00F851AC"/>
    <w:rsid w:val="00F857C6"/>
    <w:rsid w:val="00F85937"/>
    <w:rsid w:val="00F86CF1"/>
    <w:rsid w:val="00F90F9C"/>
    <w:rsid w:val="00F91D74"/>
    <w:rsid w:val="00F94F0C"/>
    <w:rsid w:val="00F974DB"/>
    <w:rsid w:val="00F9750D"/>
    <w:rsid w:val="00FA14E2"/>
    <w:rsid w:val="00FA37C1"/>
    <w:rsid w:val="00FA6116"/>
    <w:rsid w:val="00FA61B8"/>
    <w:rsid w:val="00FB0567"/>
    <w:rsid w:val="00FB1837"/>
    <w:rsid w:val="00FB1CC9"/>
    <w:rsid w:val="00FB2B18"/>
    <w:rsid w:val="00FB33DF"/>
    <w:rsid w:val="00FB3667"/>
    <w:rsid w:val="00FB4FD7"/>
    <w:rsid w:val="00FB7282"/>
    <w:rsid w:val="00FB7A9E"/>
    <w:rsid w:val="00FC0154"/>
    <w:rsid w:val="00FC19FA"/>
    <w:rsid w:val="00FC2927"/>
    <w:rsid w:val="00FC3BA5"/>
    <w:rsid w:val="00FC3BEB"/>
    <w:rsid w:val="00FC47BF"/>
    <w:rsid w:val="00FC5C79"/>
    <w:rsid w:val="00FC5D00"/>
    <w:rsid w:val="00FD3C45"/>
    <w:rsid w:val="00FD4D97"/>
    <w:rsid w:val="00FD6665"/>
    <w:rsid w:val="00FD6E44"/>
    <w:rsid w:val="00FD744F"/>
    <w:rsid w:val="00FD7828"/>
    <w:rsid w:val="00FE02EB"/>
    <w:rsid w:val="00FE1B01"/>
    <w:rsid w:val="00FE2F6D"/>
    <w:rsid w:val="00FE594C"/>
    <w:rsid w:val="00FE5AF4"/>
    <w:rsid w:val="00FE5D3C"/>
    <w:rsid w:val="00FE7AE0"/>
    <w:rsid w:val="00FF03F5"/>
    <w:rsid w:val="00FF07E0"/>
    <w:rsid w:val="00FF081B"/>
    <w:rsid w:val="00FF2825"/>
    <w:rsid w:val="00FF2D4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EABE1"/>
  <w15:chartTrackingRefBased/>
  <w15:docId w15:val="{0DCC840C-9039-420D-B9F1-4A208129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16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6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55A7E"/>
    <w:pPr>
      <w:tabs>
        <w:tab w:val="center" w:pos="4680"/>
        <w:tab w:val="right" w:pos="9360"/>
      </w:tabs>
      <w:spacing w:after="0" w:line="240" w:lineRule="auto"/>
    </w:pPr>
    <w:rPr>
      <w:rFonts w:ascii="Times New Roman" w:eastAsia="Times New Roman" w:hAnsi="Times New Roman"/>
      <w:bCs/>
      <w:kern w:val="32"/>
      <w:sz w:val="28"/>
      <w:szCs w:val="28"/>
      <w:lang w:val="en-US"/>
    </w:rPr>
  </w:style>
  <w:style w:type="character" w:customStyle="1" w:styleId="HeaderChar">
    <w:name w:val="Header Char"/>
    <w:link w:val="Header"/>
    <w:uiPriority w:val="99"/>
    <w:rsid w:val="00555A7E"/>
    <w:rPr>
      <w:rFonts w:ascii="Times New Roman" w:eastAsia="Times New Roman" w:hAnsi="Times New Roman"/>
      <w:bCs/>
      <w:kern w:val="32"/>
      <w:sz w:val="28"/>
      <w:szCs w:val="28"/>
      <w:lang w:val="en-US" w:eastAsia="en-US"/>
    </w:rPr>
  </w:style>
  <w:style w:type="paragraph" w:styleId="BalloonText">
    <w:name w:val="Balloon Text"/>
    <w:basedOn w:val="Normal"/>
    <w:link w:val="BalloonTextChar"/>
    <w:uiPriority w:val="99"/>
    <w:semiHidden/>
    <w:unhideWhenUsed/>
    <w:rsid w:val="00DA1A6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A1A6F"/>
    <w:rPr>
      <w:rFonts w:ascii="Tahoma" w:hAnsi="Tahoma" w:cs="Tahoma"/>
      <w:sz w:val="16"/>
      <w:szCs w:val="16"/>
      <w:lang w:eastAsia="en-US"/>
    </w:rPr>
  </w:style>
  <w:style w:type="paragraph" w:styleId="Footer">
    <w:name w:val="footer"/>
    <w:basedOn w:val="Normal"/>
    <w:link w:val="FooterChar"/>
    <w:uiPriority w:val="99"/>
    <w:unhideWhenUsed/>
    <w:rsid w:val="00AA7718"/>
    <w:pPr>
      <w:tabs>
        <w:tab w:val="center" w:pos="4513"/>
        <w:tab w:val="right" w:pos="9026"/>
      </w:tabs>
    </w:pPr>
  </w:style>
  <w:style w:type="character" w:customStyle="1" w:styleId="FooterChar">
    <w:name w:val="Footer Char"/>
    <w:link w:val="Footer"/>
    <w:uiPriority w:val="99"/>
    <w:rsid w:val="00AA7718"/>
    <w:rPr>
      <w:sz w:val="22"/>
      <w:szCs w:val="22"/>
      <w:lang w:eastAsia="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single space"/>
    <w:basedOn w:val="Normal"/>
    <w:link w:val="FootnoteTextChar"/>
    <w:unhideWhenUsed/>
    <w:rsid w:val="00DC580D"/>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
    <w:link w:val="FootnoteText"/>
    <w:rsid w:val="00DC580D"/>
    <w:rPr>
      <w:lang w:eastAsia="en-US"/>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R"/>
    <w:unhideWhenUsed/>
    <w:qFormat/>
    <w:rsid w:val="00DC580D"/>
    <w:rPr>
      <w:vertAlign w:val="superscript"/>
    </w:rPr>
  </w:style>
  <w:style w:type="paragraph" w:styleId="BodyText">
    <w:name w:val="Body Text"/>
    <w:basedOn w:val="Normal"/>
    <w:link w:val="BodyTextChar"/>
    <w:uiPriority w:val="99"/>
    <w:rsid w:val="006C4417"/>
    <w:pPr>
      <w:keepNext/>
      <w:spacing w:before="120" w:after="0" w:line="240" w:lineRule="auto"/>
      <w:jc w:val="both"/>
    </w:pPr>
    <w:rPr>
      <w:rFonts w:ascii=".VnTime" w:eastAsia="Times New Roman" w:hAnsi=".VnTime"/>
      <w:sz w:val="28"/>
      <w:szCs w:val="20"/>
      <w:lang w:val="x-none" w:eastAsia="x-none"/>
    </w:rPr>
  </w:style>
  <w:style w:type="character" w:customStyle="1" w:styleId="BodyTextChar">
    <w:name w:val="Body Text Char"/>
    <w:link w:val="BodyText"/>
    <w:uiPriority w:val="99"/>
    <w:rsid w:val="006C4417"/>
    <w:rPr>
      <w:rFonts w:ascii=".VnTime" w:eastAsia="Times New Roman" w:hAnsi=".VnTime"/>
      <w:sz w:val="28"/>
      <w:lang w:val="x-none" w:eastAsia="x-none"/>
    </w:rPr>
  </w:style>
  <w:style w:type="paragraph" w:styleId="NormalWeb">
    <w:name w:val="Normal (Web)"/>
    <w:basedOn w:val="Normal"/>
    <w:uiPriority w:val="99"/>
    <w:rsid w:val="00491734"/>
    <w:pPr>
      <w:spacing w:before="100" w:beforeAutospacing="1" w:after="100" w:afterAutospacing="1" w:line="240" w:lineRule="auto"/>
      <w:jc w:val="both"/>
    </w:pPr>
    <w:rPr>
      <w:rFonts w:ascii="Times New Roman" w:eastAsia="Times New Roman" w:hAnsi="Times New Roman"/>
      <w:sz w:val="24"/>
      <w:szCs w:val="24"/>
      <w:lang w:val="en-US"/>
    </w:rPr>
  </w:style>
  <w:style w:type="paragraph" w:styleId="ListParagraph">
    <w:name w:val="List Paragraph"/>
    <w:basedOn w:val="Normal"/>
    <w:uiPriority w:val="1"/>
    <w:qFormat/>
    <w:rsid w:val="002B2FD6"/>
    <w:pPr>
      <w:spacing w:after="160" w:line="259" w:lineRule="auto"/>
      <w:ind w:left="720"/>
      <w:contextualSpacing/>
    </w:pPr>
    <w:rPr>
      <w:rFonts w:ascii="Calibri" w:eastAsia="Calibri" w:hAnsi="Calibri"/>
      <w:lang w:val="en-US"/>
    </w:rPr>
  </w:style>
  <w:style w:type="character" w:styleId="CommentReference">
    <w:name w:val="annotation reference"/>
    <w:uiPriority w:val="99"/>
    <w:rsid w:val="00C02E0F"/>
    <w:rPr>
      <w:sz w:val="16"/>
      <w:szCs w:val="16"/>
    </w:rPr>
  </w:style>
  <w:style w:type="paragraph" w:styleId="CommentText">
    <w:name w:val="annotation text"/>
    <w:basedOn w:val="Normal"/>
    <w:link w:val="CommentTextChar"/>
    <w:uiPriority w:val="99"/>
    <w:rsid w:val="00C02E0F"/>
    <w:pPr>
      <w:spacing w:before="120" w:after="240" w:line="240" w:lineRule="auto"/>
      <w:jc w:val="both"/>
    </w:pPr>
    <w:rPr>
      <w:rFonts w:ascii="Times New Roman" w:eastAsia="Times New Roman" w:hAnsi="Times New Roman"/>
      <w:sz w:val="20"/>
      <w:szCs w:val="20"/>
      <w:lang w:val="en-US"/>
    </w:rPr>
  </w:style>
  <w:style w:type="character" w:customStyle="1" w:styleId="CommentTextChar">
    <w:name w:val="Comment Text Char"/>
    <w:link w:val="CommentText"/>
    <w:uiPriority w:val="99"/>
    <w:rsid w:val="00C02E0F"/>
    <w:rPr>
      <w:rFonts w:ascii="Times New Roman" w:eastAsia="Times New Roman" w:hAnsi="Times New Roman"/>
      <w:lang w:val="en-US" w:eastAsia="en-US"/>
    </w:rPr>
  </w:style>
  <w:style w:type="character" w:styleId="Hyperlink">
    <w:name w:val="Hyperlink"/>
    <w:uiPriority w:val="99"/>
    <w:semiHidden/>
    <w:unhideWhenUsed/>
    <w:rsid w:val="00A3400B"/>
    <w:rPr>
      <w:color w:val="0000FF"/>
      <w:u w:val="single"/>
    </w:rPr>
  </w:style>
  <w:style w:type="paragraph" w:styleId="HTMLPreformatted">
    <w:name w:val="HTML Preformatted"/>
    <w:basedOn w:val="Normal"/>
    <w:link w:val="HTMLPreformattedChar"/>
    <w:uiPriority w:val="99"/>
    <w:semiHidden/>
    <w:unhideWhenUsed/>
    <w:rsid w:val="008E3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semiHidden/>
    <w:rsid w:val="008E3C10"/>
    <w:rPr>
      <w:rFonts w:ascii="Courier New" w:eastAsia="Times New Roman" w:hAnsi="Courier New" w:cs="Courier New"/>
    </w:rPr>
  </w:style>
  <w:style w:type="paragraph" w:styleId="BodyTextIndent2">
    <w:name w:val="Body Text Indent 2"/>
    <w:basedOn w:val="Normal"/>
    <w:link w:val="BodyTextIndent2Char"/>
    <w:uiPriority w:val="99"/>
    <w:semiHidden/>
    <w:unhideWhenUsed/>
    <w:rsid w:val="0016519B"/>
    <w:pPr>
      <w:spacing w:after="120" w:line="480" w:lineRule="auto"/>
      <w:ind w:left="283"/>
    </w:pPr>
  </w:style>
  <w:style w:type="character" w:customStyle="1" w:styleId="BodyTextIndent2Char">
    <w:name w:val="Body Text Indent 2 Char"/>
    <w:link w:val="BodyTextIndent2"/>
    <w:uiPriority w:val="99"/>
    <w:semiHidden/>
    <w:rsid w:val="0016519B"/>
    <w:rPr>
      <w:sz w:val="22"/>
      <w:szCs w:val="22"/>
      <w:lang w:eastAsia="en-US"/>
    </w:rPr>
  </w:style>
  <w:style w:type="paragraph" w:styleId="Revision">
    <w:name w:val="Revision"/>
    <w:hidden/>
    <w:uiPriority w:val="99"/>
    <w:semiHidden/>
    <w:rsid w:val="008051FB"/>
    <w:rPr>
      <w:sz w:val="22"/>
      <w:szCs w:val="22"/>
      <w:lang w:eastAsia="en-US"/>
    </w:rPr>
  </w:style>
  <w:style w:type="character" w:customStyle="1" w:styleId="fontstyle01">
    <w:name w:val="fontstyle01"/>
    <w:basedOn w:val="DefaultParagraphFont"/>
    <w:rsid w:val="0052310B"/>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52310B"/>
    <w:rPr>
      <w:rFonts w:ascii="Times New Roman" w:hAnsi="Times New Roman" w:cs="Times New Roman" w:hint="default"/>
      <w:b w:val="0"/>
      <w:bCs w:val="0"/>
      <w:i w:val="0"/>
      <w:iCs w:val="0"/>
      <w:color w:val="000000"/>
      <w:sz w:val="28"/>
      <w:szCs w:val="28"/>
    </w:rPr>
  </w:style>
  <w:style w:type="character" w:customStyle="1" w:styleId="apple-converted-space">
    <w:name w:val="apple-converted-space"/>
    <w:basedOn w:val="DefaultParagraphFont"/>
    <w:rsid w:val="0070181C"/>
  </w:style>
  <w:style w:type="character" w:customStyle="1" w:styleId="Other">
    <w:name w:val="Other_"/>
    <w:basedOn w:val="DefaultParagraphFont"/>
    <w:link w:val="Other0"/>
    <w:rsid w:val="00504065"/>
    <w:rPr>
      <w:rFonts w:ascii="Times New Roman" w:eastAsia="Times New Roman" w:hAnsi="Times New Roman"/>
      <w:sz w:val="28"/>
      <w:szCs w:val="28"/>
      <w:shd w:val="clear" w:color="auto" w:fill="FFFFFF"/>
    </w:rPr>
  </w:style>
  <w:style w:type="paragraph" w:customStyle="1" w:styleId="Other0">
    <w:name w:val="Other"/>
    <w:basedOn w:val="Normal"/>
    <w:link w:val="Other"/>
    <w:rsid w:val="00504065"/>
    <w:pPr>
      <w:widowControl w:val="0"/>
      <w:shd w:val="clear" w:color="auto" w:fill="FFFFFF"/>
      <w:spacing w:after="120" w:line="274" w:lineRule="auto"/>
      <w:ind w:firstLine="180"/>
    </w:pPr>
    <w:rPr>
      <w:rFonts w:ascii="Times New Roman" w:eastAsia="Times New Roman" w:hAnsi="Times New Roman"/>
      <w:sz w:val="28"/>
      <w:szCs w:val="2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6800">
      <w:bodyDiv w:val="1"/>
      <w:marLeft w:val="0"/>
      <w:marRight w:val="0"/>
      <w:marTop w:val="0"/>
      <w:marBottom w:val="0"/>
      <w:divBdr>
        <w:top w:val="none" w:sz="0" w:space="0" w:color="auto"/>
        <w:left w:val="none" w:sz="0" w:space="0" w:color="auto"/>
        <w:bottom w:val="none" w:sz="0" w:space="0" w:color="auto"/>
        <w:right w:val="none" w:sz="0" w:space="0" w:color="auto"/>
      </w:divBdr>
    </w:div>
    <w:div w:id="66420453">
      <w:bodyDiv w:val="1"/>
      <w:marLeft w:val="0"/>
      <w:marRight w:val="0"/>
      <w:marTop w:val="0"/>
      <w:marBottom w:val="0"/>
      <w:divBdr>
        <w:top w:val="none" w:sz="0" w:space="0" w:color="auto"/>
        <w:left w:val="none" w:sz="0" w:space="0" w:color="auto"/>
        <w:bottom w:val="none" w:sz="0" w:space="0" w:color="auto"/>
        <w:right w:val="none" w:sz="0" w:space="0" w:color="auto"/>
      </w:divBdr>
    </w:div>
    <w:div w:id="102384161">
      <w:bodyDiv w:val="1"/>
      <w:marLeft w:val="0"/>
      <w:marRight w:val="0"/>
      <w:marTop w:val="0"/>
      <w:marBottom w:val="0"/>
      <w:divBdr>
        <w:top w:val="none" w:sz="0" w:space="0" w:color="auto"/>
        <w:left w:val="none" w:sz="0" w:space="0" w:color="auto"/>
        <w:bottom w:val="none" w:sz="0" w:space="0" w:color="auto"/>
        <w:right w:val="none" w:sz="0" w:space="0" w:color="auto"/>
      </w:divBdr>
    </w:div>
    <w:div w:id="102386487">
      <w:bodyDiv w:val="1"/>
      <w:marLeft w:val="0"/>
      <w:marRight w:val="0"/>
      <w:marTop w:val="0"/>
      <w:marBottom w:val="0"/>
      <w:divBdr>
        <w:top w:val="none" w:sz="0" w:space="0" w:color="auto"/>
        <w:left w:val="none" w:sz="0" w:space="0" w:color="auto"/>
        <w:bottom w:val="none" w:sz="0" w:space="0" w:color="auto"/>
        <w:right w:val="none" w:sz="0" w:space="0" w:color="auto"/>
      </w:divBdr>
    </w:div>
    <w:div w:id="103352601">
      <w:bodyDiv w:val="1"/>
      <w:marLeft w:val="0"/>
      <w:marRight w:val="0"/>
      <w:marTop w:val="0"/>
      <w:marBottom w:val="0"/>
      <w:divBdr>
        <w:top w:val="none" w:sz="0" w:space="0" w:color="auto"/>
        <w:left w:val="none" w:sz="0" w:space="0" w:color="auto"/>
        <w:bottom w:val="none" w:sz="0" w:space="0" w:color="auto"/>
        <w:right w:val="none" w:sz="0" w:space="0" w:color="auto"/>
      </w:divBdr>
    </w:div>
    <w:div w:id="162086661">
      <w:bodyDiv w:val="1"/>
      <w:marLeft w:val="0"/>
      <w:marRight w:val="0"/>
      <w:marTop w:val="0"/>
      <w:marBottom w:val="0"/>
      <w:divBdr>
        <w:top w:val="none" w:sz="0" w:space="0" w:color="auto"/>
        <w:left w:val="none" w:sz="0" w:space="0" w:color="auto"/>
        <w:bottom w:val="none" w:sz="0" w:space="0" w:color="auto"/>
        <w:right w:val="none" w:sz="0" w:space="0" w:color="auto"/>
      </w:divBdr>
    </w:div>
    <w:div w:id="277496411">
      <w:bodyDiv w:val="1"/>
      <w:marLeft w:val="0"/>
      <w:marRight w:val="0"/>
      <w:marTop w:val="0"/>
      <w:marBottom w:val="0"/>
      <w:divBdr>
        <w:top w:val="none" w:sz="0" w:space="0" w:color="auto"/>
        <w:left w:val="none" w:sz="0" w:space="0" w:color="auto"/>
        <w:bottom w:val="none" w:sz="0" w:space="0" w:color="auto"/>
        <w:right w:val="none" w:sz="0" w:space="0" w:color="auto"/>
      </w:divBdr>
    </w:div>
    <w:div w:id="409891736">
      <w:bodyDiv w:val="1"/>
      <w:marLeft w:val="0"/>
      <w:marRight w:val="0"/>
      <w:marTop w:val="0"/>
      <w:marBottom w:val="0"/>
      <w:divBdr>
        <w:top w:val="none" w:sz="0" w:space="0" w:color="auto"/>
        <w:left w:val="none" w:sz="0" w:space="0" w:color="auto"/>
        <w:bottom w:val="none" w:sz="0" w:space="0" w:color="auto"/>
        <w:right w:val="none" w:sz="0" w:space="0" w:color="auto"/>
      </w:divBdr>
    </w:div>
    <w:div w:id="418020403">
      <w:bodyDiv w:val="1"/>
      <w:marLeft w:val="0"/>
      <w:marRight w:val="0"/>
      <w:marTop w:val="0"/>
      <w:marBottom w:val="0"/>
      <w:divBdr>
        <w:top w:val="none" w:sz="0" w:space="0" w:color="auto"/>
        <w:left w:val="none" w:sz="0" w:space="0" w:color="auto"/>
        <w:bottom w:val="none" w:sz="0" w:space="0" w:color="auto"/>
        <w:right w:val="none" w:sz="0" w:space="0" w:color="auto"/>
      </w:divBdr>
    </w:div>
    <w:div w:id="469441409">
      <w:bodyDiv w:val="1"/>
      <w:marLeft w:val="0"/>
      <w:marRight w:val="0"/>
      <w:marTop w:val="0"/>
      <w:marBottom w:val="0"/>
      <w:divBdr>
        <w:top w:val="none" w:sz="0" w:space="0" w:color="auto"/>
        <w:left w:val="none" w:sz="0" w:space="0" w:color="auto"/>
        <w:bottom w:val="none" w:sz="0" w:space="0" w:color="auto"/>
        <w:right w:val="none" w:sz="0" w:space="0" w:color="auto"/>
      </w:divBdr>
    </w:div>
    <w:div w:id="485895901">
      <w:bodyDiv w:val="1"/>
      <w:marLeft w:val="0"/>
      <w:marRight w:val="0"/>
      <w:marTop w:val="0"/>
      <w:marBottom w:val="0"/>
      <w:divBdr>
        <w:top w:val="none" w:sz="0" w:space="0" w:color="auto"/>
        <w:left w:val="none" w:sz="0" w:space="0" w:color="auto"/>
        <w:bottom w:val="none" w:sz="0" w:space="0" w:color="auto"/>
        <w:right w:val="none" w:sz="0" w:space="0" w:color="auto"/>
      </w:divBdr>
    </w:div>
    <w:div w:id="500462358">
      <w:bodyDiv w:val="1"/>
      <w:marLeft w:val="0"/>
      <w:marRight w:val="0"/>
      <w:marTop w:val="0"/>
      <w:marBottom w:val="0"/>
      <w:divBdr>
        <w:top w:val="none" w:sz="0" w:space="0" w:color="auto"/>
        <w:left w:val="none" w:sz="0" w:space="0" w:color="auto"/>
        <w:bottom w:val="none" w:sz="0" w:space="0" w:color="auto"/>
        <w:right w:val="none" w:sz="0" w:space="0" w:color="auto"/>
      </w:divBdr>
    </w:div>
    <w:div w:id="537357968">
      <w:bodyDiv w:val="1"/>
      <w:marLeft w:val="0"/>
      <w:marRight w:val="0"/>
      <w:marTop w:val="0"/>
      <w:marBottom w:val="0"/>
      <w:divBdr>
        <w:top w:val="none" w:sz="0" w:space="0" w:color="auto"/>
        <w:left w:val="none" w:sz="0" w:space="0" w:color="auto"/>
        <w:bottom w:val="none" w:sz="0" w:space="0" w:color="auto"/>
        <w:right w:val="none" w:sz="0" w:space="0" w:color="auto"/>
      </w:divBdr>
    </w:div>
    <w:div w:id="539631842">
      <w:bodyDiv w:val="1"/>
      <w:marLeft w:val="0"/>
      <w:marRight w:val="0"/>
      <w:marTop w:val="0"/>
      <w:marBottom w:val="0"/>
      <w:divBdr>
        <w:top w:val="none" w:sz="0" w:space="0" w:color="auto"/>
        <w:left w:val="none" w:sz="0" w:space="0" w:color="auto"/>
        <w:bottom w:val="none" w:sz="0" w:space="0" w:color="auto"/>
        <w:right w:val="none" w:sz="0" w:space="0" w:color="auto"/>
      </w:divBdr>
    </w:div>
    <w:div w:id="602421437">
      <w:bodyDiv w:val="1"/>
      <w:marLeft w:val="0"/>
      <w:marRight w:val="0"/>
      <w:marTop w:val="0"/>
      <w:marBottom w:val="0"/>
      <w:divBdr>
        <w:top w:val="none" w:sz="0" w:space="0" w:color="auto"/>
        <w:left w:val="none" w:sz="0" w:space="0" w:color="auto"/>
        <w:bottom w:val="none" w:sz="0" w:space="0" w:color="auto"/>
        <w:right w:val="none" w:sz="0" w:space="0" w:color="auto"/>
      </w:divBdr>
    </w:div>
    <w:div w:id="696395024">
      <w:bodyDiv w:val="1"/>
      <w:marLeft w:val="0"/>
      <w:marRight w:val="0"/>
      <w:marTop w:val="0"/>
      <w:marBottom w:val="0"/>
      <w:divBdr>
        <w:top w:val="none" w:sz="0" w:space="0" w:color="auto"/>
        <w:left w:val="none" w:sz="0" w:space="0" w:color="auto"/>
        <w:bottom w:val="none" w:sz="0" w:space="0" w:color="auto"/>
        <w:right w:val="none" w:sz="0" w:space="0" w:color="auto"/>
      </w:divBdr>
    </w:div>
    <w:div w:id="697387879">
      <w:bodyDiv w:val="1"/>
      <w:marLeft w:val="0"/>
      <w:marRight w:val="0"/>
      <w:marTop w:val="0"/>
      <w:marBottom w:val="0"/>
      <w:divBdr>
        <w:top w:val="none" w:sz="0" w:space="0" w:color="auto"/>
        <w:left w:val="none" w:sz="0" w:space="0" w:color="auto"/>
        <w:bottom w:val="none" w:sz="0" w:space="0" w:color="auto"/>
        <w:right w:val="none" w:sz="0" w:space="0" w:color="auto"/>
      </w:divBdr>
    </w:div>
    <w:div w:id="701248391">
      <w:bodyDiv w:val="1"/>
      <w:marLeft w:val="0"/>
      <w:marRight w:val="0"/>
      <w:marTop w:val="0"/>
      <w:marBottom w:val="0"/>
      <w:divBdr>
        <w:top w:val="none" w:sz="0" w:space="0" w:color="auto"/>
        <w:left w:val="none" w:sz="0" w:space="0" w:color="auto"/>
        <w:bottom w:val="none" w:sz="0" w:space="0" w:color="auto"/>
        <w:right w:val="none" w:sz="0" w:space="0" w:color="auto"/>
      </w:divBdr>
    </w:div>
    <w:div w:id="860316691">
      <w:bodyDiv w:val="1"/>
      <w:marLeft w:val="0"/>
      <w:marRight w:val="0"/>
      <w:marTop w:val="0"/>
      <w:marBottom w:val="0"/>
      <w:divBdr>
        <w:top w:val="none" w:sz="0" w:space="0" w:color="auto"/>
        <w:left w:val="none" w:sz="0" w:space="0" w:color="auto"/>
        <w:bottom w:val="none" w:sz="0" w:space="0" w:color="auto"/>
        <w:right w:val="none" w:sz="0" w:space="0" w:color="auto"/>
      </w:divBdr>
    </w:div>
    <w:div w:id="868104899">
      <w:bodyDiv w:val="1"/>
      <w:marLeft w:val="0"/>
      <w:marRight w:val="0"/>
      <w:marTop w:val="0"/>
      <w:marBottom w:val="0"/>
      <w:divBdr>
        <w:top w:val="none" w:sz="0" w:space="0" w:color="auto"/>
        <w:left w:val="none" w:sz="0" w:space="0" w:color="auto"/>
        <w:bottom w:val="none" w:sz="0" w:space="0" w:color="auto"/>
        <w:right w:val="none" w:sz="0" w:space="0" w:color="auto"/>
      </w:divBdr>
    </w:div>
    <w:div w:id="880095147">
      <w:bodyDiv w:val="1"/>
      <w:marLeft w:val="0"/>
      <w:marRight w:val="0"/>
      <w:marTop w:val="0"/>
      <w:marBottom w:val="0"/>
      <w:divBdr>
        <w:top w:val="none" w:sz="0" w:space="0" w:color="auto"/>
        <w:left w:val="none" w:sz="0" w:space="0" w:color="auto"/>
        <w:bottom w:val="none" w:sz="0" w:space="0" w:color="auto"/>
        <w:right w:val="none" w:sz="0" w:space="0" w:color="auto"/>
      </w:divBdr>
    </w:div>
    <w:div w:id="904612172">
      <w:bodyDiv w:val="1"/>
      <w:marLeft w:val="0"/>
      <w:marRight w:val="0"/>
      <w:marTop w:val="0"/>
      <w:marBottom w:val="0"/>
      <w:divBdr>
        <w:top w:val="none" w:sz="0" w:space="0" w:color="auto"/>
        <w:left w:val="none" w:sz="0" w:space="0" w:color="auto"/>
        <w:bottom w:val="none" w:sz="0" w:space="0" w:color="auto"/>
        <w:right w:val="none" w:sz="0" w:space="0" w:color="auto"/>
      </w:divBdr>
    </w:div>
    <w:div w:id="931356565">
      <w:bodyDiv w:val="1"/>
      <w:marLeft w:val="0"/>
      <w:marRight w:val="0"/>
      <w:marTop w:val="0"/>
      <w:marBottom w:val="0"/>
      <w:divBdr>
        <w:top w:val="none" w:sz="0" w:space="0" w:color="auto"/>
        <w:left w:val="none" w:sz="0" w:space="0" w:color="auto"/>
        <w:bottom w:val="none" w:sz="0" w:space="0" w:color="auto"/>
        <w:right w:val="none" w:sz="0" w:space="0" w:color="auto"/>
      </w:divBdr>
    </w:div>
    <w:div w:id="973366065">
      <w:bodyDiv w:val="1"/>
      <w:marLeft w:val="0"/>
      <w:marRight w:val="0"/>
      <w:marTop w:val="0"/>
      <w:marBottom w:val="0"/>
      <w:divBdr>
        <w:top w:val="none" w:sz="0" w:space="0" w:color="auto"/>
        <w:left w:val="none" w:sz="0" w:space="0" w:color="auto"/>
        <w:bottom w:val="none" w:sz="0" w:space="0" w:color="auto"/>
        <w:right w:val="none" w:sz="0" w:space="0" w:color="auto"/>
      </w:divBdr>
    </w:div>
    <w:div w:id="984629830">
      <w:bodyDiv w:val="1"/>
      <w:marLeft w:val="0"/>
      <w:marRight w:val="0"/>
      <w:marTop w:val="0"/>
      <w:marBottom w:val="0"/>
      <w:divBdr>
        <w:top w:val="none" w:sz="0" w:space="0" w:color="auto"/>
        <w:left w:val="none" w:sz="0" w:space="0" w:color="auto"/>
        <w:bottom w:val="none" w:sz="0" w:space="0" w:color="auto"/>
        <w:right w:val="none" w:sz="0" w:space="0" w:color="auto"/>
      </w:divBdr>
    </w:div>
    <w:div w:id="1011372465">
      <w:bodyDiv w:val="1"/>
      <w:marLeft w:val="0"/>
      <w:marRight w:val="0"/>
      <w:marTop w:val="0"/>
      <w:marBottom w:val="0"/>
      <w:divBdr>
        <w:top w:val="none" w:sz="0" w:space="0" w:color="auto"/>
        <w:left w:val="none" w:sz="0" w:space="0" w:color="auto"/>
        <w:bottom w:val="none" w:sz="0" w:space="0" w:color="auto"/>
        <w:right w:val="none" w:sz="0" w:space="0" w:color="auto"/>
      </w:divBdr>
    </w:div>
    <w:div w:id="1017465448">
      <w:bodyDiv w:val="1"/>
      <w:marLeft w:val="0"/>
      <w:marRight w:val="0"/>
      <w:marTop w:val="0"/>
      <w:marBottom w:val="0"/>
      <w:divBdr>
        <w:top w:val="none" w:sz="0" w:space="0" w:color="auto"/>
        <w:left w:val="none" w:sz="0" w:space="0" w:color="auto"/>
        <w:bottom w:val="none" w:sz="0" w:space="0" w:color="auto"/>
        <w:right w:val="none" w:sz="0" w:space="0" w:color="auto"/>
      </w:divBdr>
    </w:div>
    <w:div w:id="1061096586">
      <w:bodyDiv w:val="1"/>
      <w:marLeft w:val="0"/>
      <w:marRight w:val="0"/>
      <w:marTop w:val="0"/>
      <w:marBottom w:val="0"/>
      <w:divBdr>
        <w:top w:val="none" w:sz="0" w:space="0" w:color="auto"/>
        <w:left w:val="none" w:sz="0" w:space="0" w:color="auto"/>
        <w:bottom w:val="none" w:sz="0" w:space="0" w:color="auto"/>
        <w:right w:val="none" w:sz="0" w:space="0" w:color="auto"/>
      </w:divBdr>
    </w:div>
    <w:div w:id="1075515944">
      <w:bodyDiv w:val="1"/>
      <w:marLeft w:val="0"/>
      <w:marRight w:val="0"/>
      <w:marTop w:val="0"/>
      <w:marBottom w:val="0"/>
      <w:divBdr>
        <w:top w:val="none" w:sz="0" w:space="0" w:color="auto"/>
        <w:left w:val="none" w:sz="0" w:space="0" w:color="auto"/>
        <w:bottom w:val="none" w:sz="0" w:space="0" w:color="auto"/>
        <w:right w:val="none" w:sz="0" w:space="0" w:color="auto"/>
      </w:divBdr>
    </w:div>
    <w:div w:id="1095325888">
      <w:bodyDiv w:val="1"/>
      <w:marLeft w:val="0"/>
      <w:marRight w:val="0"/>
      <w:marTop w:val="0"/>
      <w:marBottom w:val="0"/>
      <w:divBdr>
        <w:top w:val="none" w:sz="0" w:space="0" w:color="auto"/>
        <w:left w:val="none" w:sz="0" w:space="0" w:color="auto"/>
        <w:bottom w:val="none" w:sz="0" w:space="0" w:color="auto"/>
        <w:right w:val="none" w:sz="0" w:space="0" w:color="auto"/>
      </w:divBdr>
    </w:div>
    <w:div w:id="1155339629">
      <w:bodyDiv w:val="1"/>
      <w:marLeft w:val="0"/>
      <w:marRight w:val="0"/>
      <w:marTop w:val="0"/>
      <w:marBottom w:val="0"/>
      <w:divBdr>
        <w:top w:val="none" w:sz="0" w:space="0" w:color="auto"/>
        <w:left w:val="none" w:sz="0" w:space="0" w:color="auto"/>
        <w:bottom w:val="none" w:sz="0" w:space="0" w:color="auto"/>
        <w:right w:val="none" w:sz="0" w:space="0" w:color="auto"/>
      </w:divBdr>
    </w:div>
    <w:div w:id="1210145699">
      <w:bodyDiv w:val="1"/>
      <w:marLeft w:val="0"/>
      <w:marRight w:val="0"/>
      <w:marTop w:val="0"/>
      <w:marBottom w:val="0"/>
      <w:divBdr>
        <w:top w:val="none" w:sz="0" w:space="0" w:color="auto"/>
        <w:left w:val="none" w:sz="0" w:space="0" w:color="auto"/>
        <w:bottom w:val="none" w:sz="0" w:space="0" w:color="auto"/>
        <w:right w:val="none" w:sz="0" w:space="0" w:color="auto"/>
      </w:divBdr>
    </w:div>
    <w:div w:id="1260600940">
      <w:bodyDiv w:val="1"/>
      <w:marLeft w:val="0"/>
      <w:marRight w:val="0"/>
      <w:marTop w:val="0"/>
      <w:marBottom w:val="0"/>
      <w:divBdr>
        <w:top w:val="none" w:sz="0" w:space="0" w:color="auto"/>
        <w:left w:val="none" w:sz="0" w:space="0" w:color="auto"/>
        <w:bottom w:val="none" w:sz="0" w:space="0" w:color="auto"/>
        <w:right w:val="none" w:sz="0" w:space="0" w:color="auto"/>
      </w:divBdr>
    </w:div>
    <w:div w:id="1279406663">
      <w:bodyDiv w:val="1"/>
      <w:marLeft w:val="0"/>
      <w:marRight w:val="0"/>
      <w:marTop w:val="0"/>
      <w:marBottom w:val="0"/>
      <w:divBdr>
        <w:top w:val="none" w:sz="0" w:space="0" w:color="auto"/>
        <w:left w:val="none" w:sz="0" w:space="0" w:color="auto"/>
        <w:bottom w:val="none" w:sz="0" w:space="0" w:color="auto"/>
        <w:right w:val="none" w:sz="0" w:space="0" w:color="auto"/>
      </w:divBdr>
    </w:div>
    <w:div w:id="1327438432">
      <w:bodyDiv w:val="1"/>
      <w:marLeft w:val="0"/>
      <w:marRight w:val="0"/>
      <w:marTop w:val="0"/>
      <w:marBottom w:val="0"/>
      <w:divBdr>
        <w:top w:val="none" w:sz="0" w:space="0" w:color="auto"/>
        <w:left w:val="none" w:sz="0" w:space="0" w:color="auto"/>
        <w:bottom w:val="none" w:sz="0" w:space="0" w:color="auto"/>
        <w:right w:val="none" w:sz="0" w:space="0" w:color="auto"/>
      </w:divBdr>
    </w:div>
    <w:div w:id="1365209337">
      <w:bodyDiv w:val="1"/>
      <w:marLeft w:val="0"/>
      <w:marRight w:val="0"/>
      <w:marTop w:val="0"/>
      <w:marBottom w:val="0"/>
      <w:divBdr>
        <w:top w:val="none" w:sz="0" w:space="0" w:color="auto"/>
        <w:left w:val="none" w:sz="0" w:space="0" w:color="auto"/>
        <w:bottom w:val="none" w:sz="0" w:space="0" w:color="auto"/>
        <w:right w:val="none" w:sz="0" w:space="0" w:color="auto"/>
      </w:divBdr>
    </w:div>
    <w:div w:id="1388870189">
      <w:bodyDiv w:val="1"/>
      <w:marLeft w:val="0"/>
      <w:marRight w:val="0"/>
      <w:marTop w:val="0"/>
      <w:marBottom w:val="0"/>
      <w:divBdr>
        <w:top w:val="none" w:sz="0" w:space="0" w:color="auto"/>
        <w:left w:val="none" w:sz="0" w:space="0" w:color="auto"/>
        <w:bottom w:val="none" w:sz="0" w:space="0" w:color="auto"/>
        <w:right w:val="none" w:sz="0" w:space="0" w:color="auto"/>
      </w:divBdr>
    </w:div>
    <w:div w:id="1400052637">
      <w:bodyDiv w:val="1"/>
      <w:marLeft w:val="0"/>
      <w:marRight w:val="0"/>
      <w:marTop w:val="0"/>
      <w:marBottom w:val="0"/>
      <w:divBdr>
        <w:top w:val="none" w:sz="0" w:space="0" w:color="auto"/>
        <w:left w:val="none" w:sz="0" w:space="0" w:color="auto"/>
        <w:bottom w:val="none" w:sz="0" w:space="0" w:color="auto"/>
        <w:right w:val="none" w:sz="0" w:space="0" w:color="auto"/>
      </w:divBdr>
    </w:div>
    <w:div w:id="1427799299">
      <w:bodyDiv w:val="1"/>
      <w:marLeft w:val="0"/>
      <w:marRight w:val="0"/>
      <w:marTop w:val="0"/>
      <w:marBottom w:val="0"/>
      <w:divBdr>
        <w:top w:val="none" w:sz="0" w:space="0" w:color="auto"/>
        <w:left w:val="none" w:sz="0" w:space="0" w:color="auto"/>
        <w:bottom w:val="none" w:sz="0" w:space="0" w:color="auto"/>
        <w:right w:val="none" w:sz="0" w:space="0" w:color="auto"/>
      </w:divBdr>
    </w:div>
    <w:div w:id="1545945629">
      <w:bodyDiv w:val="1"/>
      <w:marLeft w:val="0"/>
      <w:marRight w:val="0"/>
      <w:marTop w:val="0"/>
      <w:marBottom w:val="0"/>
      <w:divBdr>
        <w:top w:val="none" w:sz="0" w:space="0" w:color="auto"/>
        <w:left w:val="none" w:sz="0" w:space="0" w:color="auto"/>
        <w:bottom w:val="none" w:sz="0" w:space="0" w:color="auto"/>
        <w:right w:val="none" w:sz="0" w:space="0" w:color="auto"/>
      </w:divBdr>
    </w:div>
    <w:div w:id="1558543968">
      <w:bodyDiv w:val="1"/>
      <w:marLeft w:val="0"/>
      <w:marRight w:val="0"/>
      <w:marTop w:val="0"/>
      <w:marBottom w:val="0"/>
      <w:divBdr>
        <w:top w:val="none" w:sz="0" w:space="0" w:color="auto"/>
        <w:left w:val="none" w:sz="0" w:space="0" w:color="auto"/>
        <w:bottom w:val="none" w:sz="0" w:space="0" w:color="auto"/>
        <w:right w:val="none" w:sz="0" w:space="0" w:color="auto"/>
      </w:divBdr>
    </w:div>
    <w:div w:id="1575506650">
      <w:bodyDiv w:val="1"/>
      <w:marLeft w:val="0"/>
      <w:marRight w:val="0"/>
      <w:marTop w:val="0"/>
      <w:marBottom w:val="0"/>
      <w:divBdr>
        <w:top w:val="none" w:sz="0" w:space="0" w:color="auto"/>
        <w:left w:val="none" w:sz="0" w:space="0" w:color="auto"/>
        <w:bottom w:val="none" w:sz="0" w:space="0" w:color="auto"/>
        <w:right w:val="none" w:sz="0" w:space="0" w:color="auto"/>
      </w:divBdr>
    </w:div>
    <w:div w:id="1582451327">
      <w:bodyDiv w:val="1"/>
      <w:marLeft w:val="0"/>
      <w:marRight w:val="0"/>
      <w:marTop w:val="0"/>
      <w:marBottom w:val="0"/>
      <w:divBdr>
        <w:top w:val="none" w:sz="0" w:space="0" w:color="auto"/>
        <w:left w:val="none" w:sz="0" w:space="0" w:color="auto"/>
        <w:bottom w:val="none" w:sz="0" w:space="0" w:color="auto"/>
        <w:right w:val="none" w:sz="0" w:space="0" w:color="auto"/>
      </w:divBdr>
    </w:div>
    <w:div w:id="1597400947">
      <w:bodyDiv w:val="1"/>
      <w:marLeft w:val="0"/>
      <w:marRight w:val="0"/>
      <w:marTop w:val="0"/>
      <w:marBottom w:val="0"/>
      <w:divBdr>
        <w:top w:val="none" w:sz="0" w:space="0" w:color="auto"/>
        <w:left w:val="none" w:sz="0" w:space="0" w:color="auto"/>
        <w:bottom w:val="none" w:sz="0" w:space="0" w:color="auto"/>
        <w:right w:val="none" w:sz="0" w:space="0" w:color="auto"/>
      </w:divBdr>
    </w:div>
    <w:div w:id="1752964544">
      <w:bodyDiv w:val="1"/>
      <w:marLeft w:val="0"/>
      <w:marRight w:val="0"/>
      <w:marTop w:val="0"/>
      <w:marBottom w:val="0"/>
      <w:divBdr>
        <w:top w:val="none" w:sz="0" w:space="0" w:color="auto"/>
        <w:left w:val="none" w:sz="0" w:space="0" w:color="auto"/>
        <w:bottom w:val="none" w:sz="0" w:space="0" w:color="auto"/>
        <w:right w:val="none" w:sz="0" w:space="0" w:color="auto"/>
      </w:divBdr>
    </w:div>
    <w:div w:id="1776049742">
      <w:bodyDiv w:val="1"/>
      <w:marLeft w:val="0"/>
      <w:marRight w:val="0"/>
      <w:marTop w:val="0"/>
      <w:marBottom w:val="0"/>
      <w:divBdr>
        <w:top w:val="none" w:sz="0" w:space="0" w:color="auto"/>
        <w:left w:val="none" w:sz="0" w:space="0" w:color="auto"/>
        <w:bottom w:val="none" w:sz="0" w:space="0" w:color="auto"/>
        <w:right w:val="none" w:sz="0" w:space="0" w:color="auto"/>
      </w:divBdr>
    </w:div>
    <w:div w:id="1938781256">
      <w:bodyDiv w:val="1"/>
      <w:marLeft w:val="0"/>
      <w:marRight w:val="0"/>
      <w:marTop w:val="0"/>
      <w:marBottom w:val="0"/>
      <w:divBdr>
        <w:top w:val="none" w:sz="0" w:space="0" w:color="auto"/>
        <w:left w:val="none" w:sz="0" w:space="0" w:color="auto"/>
        <w:bottom w:val="none" w:sz="0" w:space="0" w:color="auto"/>
        <w:right w:val="none" w:sz="0" w:space="0" w:color="auto"/>
      </w:divBdr>
    </w:div>
    <w:div w:id="1961912799">
      <w:bodyDiv w:val="1"/>
      <w:marLeft w:val="0"/>
      <w:marRight w:val="0"/>
      <w:marTop w:val="0"/>
      <w:marBottom w:val="0"/>
      <w:divBdr>
        <w:top w:val="none" w:sz="0" w:space="0" w:color="auto"/>
        <w:left w:val="none" w:sz="0" w:space="0" w:color="auto"/>
        <w:bottom w:val="none" w:sz="0" w:space="0" w:color="auto"/>
        <w:right w:val="none" w:sz="0" w:space="0" w:color="auto"/>
      </w:divBdr>
    </w:div>
    <w:div w:id="2013292907">
      <w:bodyDiv w:val="1"/>
      <w:marLeft w:val="0"/>
      <w:marRight w:val="0"/>
      <w:marTop w:val="0"/>
      <w:marBottom w:val="0"/>
      <w:divBdr>
        <w:top w:val="none" w:sz="0" w:space="0" w:color="auto"/>
        <w:left w:val="none" w:sz="0" w:space="0" w:color="auto"/>
        <w:bottom w:val="none" w:sz="0" w:space="0" w:color="auto"/>
        <w:right w:val="none" w:sz="0" w:space="0" w:color="auto"/>
      </w:divBdr>
    </w:div>
    <w:div w:id="206787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0E1CE5-868F-4F15-B4C4-E76421320758}">
  <ds:schemaRefs>
    <ds:schemaRef ds:uri="http://schemas.openxmlformats.org/officeDocument/2006/bibliography"/>
  </ds:schemaRefs>
</ds:datastoreItem>
</file>

<file path=customXml/itemProps2.xml><?xml version="1.0" encoding="utf-8"?>
<ds:datastoreItem xmlns:ds="http://schemas.openxmlformats.org/officeDocument/2006/customXml" ds:itemID="{B23BFF13-2B96-4591-B95A-86B1A0A3BFFE}"/>
</file>

<file path=customXml/itemProps3.xml><?xml version="1.0" encoding="utf-8"?>
<ds:datastoreItem xmlns:ds="http://schemas.openxmlformats.org/officeDocument/2006/customXml" ds:itemID="{69AC695F-533B-482D-8B16-38A7BF3FFDDD}"/>
</file>

<file path=customXml/itemProps4.xml><?xml version="1.0" encoding="utf-8"?>
<ds:datastoreItem xmlns:ds="http://schemas.openxmlformats.org/officeDocument/2006/customXml" ds:itemID="{9288B95C-E38B-4A10-AFD5-71C9D8D6218B}"/>
</file>

<file path=docProps/app.xml><?xml version="1.0" encoding="utf-8"?>
<Properties xmlns="http://schemas.openxmlformats.org/officeDocument/2006/extended-properties" xmlns:vt="http://schemas.openxmlformats.org/officeDocument/2006/docPropsVTypes">
  <Template>Normal.dotm</Template>
  <TotalTime>783</TotalTime>
  <Pages>10</Pages>
  <Words>3861</Words>
  <Characters>22009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MPi</Company>
  <LinksUpToDate>false</LinksUpToDate>
  <CharactersWithSpaces>25819</CharactersWithSpaces>
  <SharedDoc>false</SharedDoc>
  <HLinks>
    <vt:vector size="6" baseType="variant">
      <vt:variant>
        <vt:i4>4718676</vt:i4>
      </vt:variant>
      <vt:variant>
        <vt:i4>0</vt:i4>
      </vt:variant>
      <vt:variant>
        <vt:i4>0</vt:i4>
      </vt:variant>
      <vt:variant>
        <vt:i4>5</vt:i4>
      </vt:variant>
      <vt:variant>
        <vt:lpwstr>https://ppp.worldbank.org/public-private-partnership/library/policy-guidelines-managing-unsolicited-proposals-infrastructure-projects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SONGNGOC</dc:creator>
  <cp:keywords/>
  <cp:lastModifiedBy>MyPC</cp:lastModifiedBy>
  <cp:revision>293</cp:revision>
  <cp:lastPrinted>2017-10-17T02:35:00Z</cp:lastPrinted>
  <dcterms:created xsi:type="dcterms:W3CDTF">2019-07-15T06:32:00Z</dcterms:created>
  <dcterms:modified xsi:type="dcterms:W3CDTF">2020-10-23T07:08:00Z</dcterms:modified>
</cp:coreProperties>
</file>